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8F89D">
      <w:pPr>
        <w:spacing w:before="480" w:after="120"/>
        <w:jc w:val="center"/>
      </w:pPr>
      <w:bookmarkStart w:id="0" w:name="_GoBack"/>
      <w:bookmarkEnd w:id="0"/>
      <w:r>
        <w:rPr>
          <w:rFonts w:ascii="微软雅黑" w:hAnsi="微软雅黑"/>
          <w:b/>
          <w:color w:val="1F4E78"/>
          <w:sz w:val="44"/>
        </w:rPr>
        <w:t>让AI的错误成为数学课的资源</w:t>
      </w:r>
    </w:p>
    <w:p w14:paraId="704841B3">
      <w:pPr>
        <w:spacing w:after="360"/>
        <w:jc w:val="center"/>
      </w:pPr>
      <w:r>
        <w:rPr>
          <w:rFonts w:ascii="微软雅黑" w:hAnsi="微软雅黑"/>
          <w:b/>
          <w:color w:val="595959"/>
          <w:sz w:val="28"/>
        </w:rPr>
        <w:t>——以七年级“综合与实践”《从传统连续纹样到现代镶嵌图案》为例</w:t>
      </w:r>
    </w:p>
    <w:p w14:paraId="2DF44C7B">
      <w:pPr>
        <w:spacing w:after="360"/>
        <w:jc w:val="center"/>
      </w:pPr>
      <w:r>
        <w:rPr>
          <w:rFonts w:ascii="宋体" w:hAnsi="宋体"/>
          <w:i w:val="0"/>
          <w:sz w:val="21"/>
        </w:rPr>
        <w:t>作者姓名（投稿待填）</w:t>
      </w:r>
      <w:r>
        <w:rPr>
          <w:rFonts w:ascii="宋体" w:hAnsi="宋体"/>
          <w:i w:val="0"/>
          <w:sz w:val="21"/>
        </w:rPr>
        <w:br w:type="textWrapping"/>
      </w:r>
      <w:r>
        <w:rPr>
          <w:rFonts w:ascii="宋体" w:hAnsi="宋体"/>
          <w:i w:val="0"/>
          <w:sz w:val="21"/>
        </w:rPr>
        <w:t>（上海外国语大学云间中学，上海 201600）</w:t>
      </w:r>
    </w:p>
    <w:p w14:paraId="59B8B87A">
      <w:pPr>
        <w:spacing w:after="120"/>
        <w:ind w:left="576" w:right="576"/>
      </w:pPr>
      <w:r>
        <w:rPr>
          <w:rFonts w:ascii="宋体" w:hAnsi="宋体"/>
          <w:b/>
          <w:sz w:val="19"/>
        </w:rPr>
        <w:t xml:space="preserve">【摘要】 </w:t>
      </w:r>
      <w:r>
        <w:rPr>
          <w:rFonts w:ascii="宋体" w:hAnsi="宋体"/>
          <w:sz w:val="19"/>
        </w:rPr>
        <w:t>AI进数学课堂，多用来辅助讲授或资源生成，少有人把它出的错当作学习对象。本文提出一个主张：AI的教学价值不在于它算得对，而在于它错得真——那些“看着合理、数学上非法”的输出，提供了传统教具给不了的审辩对象。以七年级“综合与实践”的镶嵌为例：教师课前从AI画的图中挑出“伪镶嵌”；课上让学生先猜哪些正多边形能密铺，再用“拼接点角和是否为360°”证明，进而鉴定AI的图、自己创作；学生判断经“三个助手”留痕，教师据统计当场调整教法。把AI的错变成数学判定的对象，既让几何推理有真用处，也让学生学会不轻信AI。</w:t>
      </w:r>
    </w:p>
    <w:p w14:paraId="38CEFE3C">
      <w:pPr>
        <w:spacing w:after="480"/>
        <w:ind w:left="576" w:right="576"/>
      </w:pPr>
      <w:r>
        <w:rPr>
          <w:rFonts w:ascii="宋体" w:hAnsi="宋体"/>
          <w:b/>
          <w:sz w:val="19"/>
        </w:rPr>
        <w:t xml:space="preserve">【关键词】 </w:t>
      </w:r>
      <w:r>
        <w:rPr>
          <w:rFonts w:ascii="宋体" w:hAnsi="宋体"/>
          <w:sz w:val="19"/>
        </w:rPr>
        <w:t>综合与实践；镶嵌（密铺）；推理能力；生成式人工智能；批判性思维</w:t>
      </w:r>
    </w:p>
    <w:p w14:paraId="29C79584">
      <w:pPr>
        <w:spacing w:after="480"/>
        <w:ind w:left="576" w:right="576"/>
      </w:pPr>
      <w:r>
        <w:rPr>
          <w:rFonts w:ascii="宋体" w:hAnsi="宋体"/>
          <w:color w:val="7F7F7F"/>
          <w:sz w:val="18"/>
        </w:rPr>
        <w:t>【说明】本文属教学设计与思考，第4节所呈现的学生表现为笔者预演与初步观察，未作前后测与对照；标注“示例”处待常态实施后据实补充，不夸大AI的作用。</w:t>
      </w:r>
    </w:p>
    <w:p w14:paraId="3B5F57E5">
      <w:pPr>
        <w:pStyle w:val="3"/>
      </w:pPr>
      <w:r>
        <w:t>1　问题的提出</w:t>
      </w:r>
    </w:p>
    <w:p w14:paraId="61713C11">
      <w:pPr>
        <w:pStyle w:val="4"/>
      </w:pPr>
      <w:r>
        <w:t>1.1　AI进了数学课，我们大多只让它“帮忙”</w:t>
      </w:r>
    </w:p>
    <w:p w14:paraId="2A3BA7D3">
      <w:r>
        <w:t>这两年AI进课堂，常见的用法有两类：帮老师备课、生成练习和课件；或者当学生的答疑助手。共同点是——都把AI当成“做得对”的帮手。可只要用得多，就会发现它常常不对：让它画一幅镶嵌图案，出来的图远看严丝合缝，凑近一瞧却有缝隙、或者叠在一起；有时它还一本正经地说“这是用正五边形密铺的”，而正五边形怎么拼也铺不满。道理不难：文生图这类AI是照着看过的海量图片把画面“画”像，并不按几何规则去“算”（会写代码、会调几何工具的AI另说）。</w:t>
      </w:r>
    </w:p>
    <w:p w14:paraId="66955062">
      <w:pPr>
        <w:ind w:left="288" w:right="288"/>
      </w:pPr>
      <w:r>
        <w:rPr>
          <w:rFonts w:ascii="宋体" w:hAnsi="宋体"/>
          <w:b/>
          <w:sz w:val="21"/>
        </w:rPr>
        <w:t>从底层技术逻辑来看，目前主流的文生图大模型（如基于扩散模型 Diffusion Models）的核心任务是在高维潜空间中进行“降噪生成”与“视觉特征拟合”。它通过概率分布去模拟“什么是‘像’镶嵌图案的图像”，极其注重色彩过渡、纹理一致性和整体视觉上的宏观连续性，而非逻辑上的几何规则。由于大模型缺乏内置的几何代数约束与空间拓扑逻辑计算模块，在生成图像时无法进行‘拼接点处角和必须等于360°’的刚性物理计算，从而必然导致‘局部缝隙’或‘重叠折叠’等数学非法的特征。这种技术机制导致了AI“错得真”——它呈现出高度逼真的质感和构图，却在数学严谨性上漏洞百出，从而为数学课提供了极佳的审辩资源。</w:t>
      </w:r>
    </w:p>
    <w:p w14:paraId="7DBBC938">
      <w:r>
        <w:t>平时我们把这类错当麻烦，赶紧绕开。但对数学课来说，这里恰好有一块没人用过的资源：学生要是只看图、又信了AI那份笃定，就很容易把“看着对”当成“真的对”[4]；而要判断它到底对不对，非得动用数学不可。</w:t>
      </w:r>
    </w:p>
    <w:p w14:paraId="7E82BF69">
      <w:pPr>
        <w:pStyle w:val="4"/>
      </w:pPr>
      <w:r>
        <w:t>1.2　一个还没被认真用起来的空子</w:t>
      </w:r>
    </w:p>
    <w:p w14:paraId="06399738">
      <w:r>
        <w:t>夏雪梅等人比较中美的数学项目后发现，我们的数学项目常把情境“净化”得太干净，也不太看重批判性思维[3]。这话说到了痛处：真实世界里的问题多半带着杂音、甚至带着错误，而我们给学生的情境往往过于干净、答案唯一。既然AI的错是真实发生、且学生往后天天会碰到的，为什么不把它请进课堂，当成要学生动数学去查验的对象?</w:t>
      </w:r>
      <w:r>
        <w:br w:type="textWrapping"/>
      </w:r>
      <w:r>
        <w:br w:type="textWrapping"/>
      </w:r>
      <w:r>
        <w:t>由此，本文提出一个主张：生成式AI在数学课上的教学价值，不在于它算得对，而在于它错得真——那些“视觉上合理、数学上非法”的输出，提供了传统教具给不了的审辩对象。下面以七年级“综合与实践”的镶嵌内容为例，说明这个主张怎么落到一节课里，以及它为什么值得一试。</w:t>
      </w:r>
    </w:p>
    <w:p w14:paraId="15C56D20">
      <w:pPr>
        <w:pStyle w:val="3"/>
      </w:pPr>
      <w:r>
        <w:t>2　这个主张站得住吗</w:t>
      </w:r>
    </w:p>
    <w:p w14:paraId="6105B63E">
      <w:pPr>
        <w:pStyle w:val="4"/>
      </w:pPr>
      <w:r>
        <w:t>2.1　先自问一句：这节课非用AI不可吗</w:t>
      </w:r>
    </w:p>
    <w:p w14:paraId="403C32F8">
      <w:r>
        <w:t>镶嵌本是沪教版七年级“综合与实践”里的老内容，讲的是图形的平移、旋转、轴对称[2]。备课时笔者先问了自己一句：非用AI不可吗?说实话，不用AI，拿几张图片、剪几张纸照样能上——教材配的空中课堂就是这么上的。要是AI只拿来找找图、生成几个图案，它就是个可有可无的点缀。</w:t>
      </w:r>
      <w:r>
        <w:br w:type="textWrapping"/>
      </w:r>
      <w:r>
        <w:br w:type="textWrapping"/>
      </w:r>
      <w:r>
        <w:t>但按前面的主张改一下重心，AI就非有不可了：这节课要审的，就是它自己画出来的东西。这跟老师故意画张错图不同——老师画错，学生一眼看出是“考我的”；AI是真不懂、还画得理直气壮，而且往后学生天天都会碰到这样的AI。也就是说，抽掉AI，这件事本身就不存在了。</w:t>
      </w:r>
    </w:p>
    <w:p w14:paraId="273EBF76">
      <w:pPr>
        <w:pStyle w:val="4"/>
      </w:pPr>
      <w:r>
        <w:t>2.2　为什么镶嵌是个好载体</w:t>
      </w:r>
    </w:p>
    <w:p w14:paraId="1FB918BB">
      <w:r>
        <w:t>因为它的对错没有余地。图案好不好看可以各有所爱，但能不能铺满平面，只看一条：拼接点处各角加起来是不是恰好360°，且不重叠。这是一把刻度分明的尺子，最适合用来戳穿“看着对、其实错”。对七年级学生来说，这尺子又刚好够得着——只要会算多边形的内角。</w:t>
      </w:r>
    </w:p>
    <w:p w14:paraId="62062669">
      <w:pPr>
        <w:pStyle w:val="4"/>
      </w:pPr>
      <w:r>
        <w:t>2.3　这节课到底在练什么</w:t>
      </w:r>
    </w:p>
    <w:p w14:paraId="7DF1403C">
      <w:r>
        <w:t>这节课属于“综合与实践”领域，作为主题活动开展[1]，但练的还是数学：算内角、用360°判断能不能密铺，练的是推理；对着AI的图挑毛病、发现它站不住，练的是敢质疑、会质疑——这两样课标里都写着。至于“学会不轻信AI”，是学生在这节数学课里顺带得到的一份见识，不必硬说成什么数学素养。这节课的正事是数学，AI只是把学生引到数学跟前的那个由头。</w:t>
      </w:r>
    </w:p>
    <w:p w14:paraId="121B0765">
      <w:pPr>
        <w:pStyle w:val="3"/>
      </w:pPr>
      <w:r>
        <w:t>3　怎么做：让AI的错变成可用的资源</w:t>
      </w:r>
    </w:p>
    <w:p w14:paraId="1E1B6A2F">
      <w:r>
        <w:t>本主题活动归属于初中数学“综合与实践”领域，整体采用</w:t>
      </w:r>
      <w:r>
        <w:rPr>
          <w:b/>
        </w:rPr>
        <w:t>主题式探究（主题式学习）</w:t>
      </w:r>
      <w:r>
        <w:t>的方式展开。为了激发学生的深度探究兴趣，我们将本节内容重构并提炼出一个极具时代关联度与现实批判色彩的</w:t>
      </w:r>
      <w:r>
        <w:rPr>
          <w:b/>
        </w:rPr>
        <w:t>核心驱动问题（Driving Question）：</w:t>
      </w:r>
    </w:p>
    <w:p w14:paraId="3574FF8B">
      <w:pPr>
        <w:spacing w:before="120" w:after="120"/>
        <w:ind w:left="576" w:right="576"/>
      </w:pPr>
      <w:r>
        <w:rPr>
          <w:rFonts w:ascii="微软雅黑" w:hAnsi="微软雅黑"/>
          <w:b/>
          <w:color w:val="1F4E78"/>
          <w:sz w:val="22"/>
        </w:rPr>
        <w:t>“我们如何用无可辩驳的数学规则，戳穿AI画出的‘完美密铺’假象？”</w:t>
      </w:r>
    </w:p>
    <w:p w14:paraId="4E95C1A6">
      <w:r>
        <w:t>围绕这一核心驱动问题，本主题活动顺着教材的活动走：赏纹样、辨变换、还原埃舍尔的鸽子瓷砖，再到先猜后证、鉴定AI的作品、自己造一幅能密铺的图（图1）。这一设计将原本松散的课时重组为“赏（艺术之美）—辨（几何变换）—证（多边形角和）—鉴（审辩AI伪图）—创（设计合规作品）”的认知螺旋，使学生的学习由被动接受转为主动审查，让几何推理成为识破智能技术谎言的有力武器。整个活动约6课时（课内4、课外2），下面只讲支撑本文主张的三件事。</w:t>
      </w:r>
    </w:p>
    <w:p w14:paraId="40D8CAAC">
      <w:pPr>
        <w:pStyle w:val="4"/>
      </w:pPr>
      <w:r>
        <w:t>3.1　第一件事：让AI“真错”，而且错得可控</w:t>
      </w:r>
    </w:p>
    <w:p w14:paraId="1E60D206">
      <w:r>
        <w:t>既然要审AI的错，就得先让它错，还不能指望它上课时恰好犯错。笔者的做法是课前“策展”：用备课助手连着下指令——“画一幅用正五边形密铺的图案”“生成一幅四方连续的镶嵌”“把正六边形变形成动物再密铺”，一口气出十来张；再按三条标准挑出3张留着上课用：一是缝隙或重叠肉眼看得见（放大后更明显），二是错在正多边形的误用（尤其正五边形），三是整体“看着挺像”，不能一眼就假。</w:t>
      </w:r>
      <w:r>
        <w:br w:type="textWrapping"/>
      </w:r>
      <w:r>
        <w:br w:type="textWrapping"/>
      </w:r>
      <w:r>
        <w:t>这样处理有个好处：错是AI自己犯的，不是老师编的；同时因为事先挑过，课堂上不必赌运气，别的班再上一次也能复现。要提醒的是，如果直接用对话模型去问“正五边形能不能密铺”，现在多数模型会答“不能”——所以这一步要用的是它画出来的图，而不是它说出来的话。</w:t>
      </w:r>
    </w:p>
    <w:p w14:paraId="14B7844C">
      <w:pPr>
        <w:pStyle w:val="4"/>
      </w:pPr>
      <w:r>
        <w:t>3.2　第二件事：把“凭什么”算清楚，从查表走到证明</w:t>
      </w:r>
    </w:p>
    <w:p w14:paraId="6B2BE0A7">
      <w:r>
        <w:t>要审AI，学生手里得先有尺子。笔者没有直接给结论，而是先让全班猜：哪些正多边形能单独密铺?猜完在平台上提交。分歧最大的是正五边形和正六边形——这正是好的探究起点。接着才一起把标准立起来：无缝隙、不重叠，且每个拼接点处各内角之和恰为360°。</w:t>
      </w:r>
    </w:p>
    <w:tbl>
      <w:tblPr>
        <w:tblStyle w:val="32"/>
        <w:tblW w:w="0" w:type="auto"/>
        <w:jc w:val="center"/>
        <w:tblLayout w:type="fixed"/>
        <w:tblCellMar>
          <w:top w:w="0" w:type="dxa"/>
          <w:left w:w="108" w:type="dxa"/>
          <w:bottom w:w="0" w:type="dxa"/>
          <w:right w:w="108" w:type="dxa"/>
        </w:tblCellMar>
      </w:tblPr>
      <w:tblGrid>
        <w:gridCol w:w="2257"/>
        <w:gridCol w:w="2257"/>
        <w:gridCol w:w="2257"/>
        <w:gridCol w:w="2257"/>
      </w:tblGrid>
      <w:tr w14:paraId="1CE91986">
        <w:trPr>
          <w:jc w:val="center"/>
        </w:trPr>
        <w:tc>
          <w:tcPr>
            <w:tcW w:w="1728" w:type="dxa"/>
            <w:shd w:val="clear" w:color="auto" w:fill="1F4E78"/>
            <w:tcMar>
              <w:top w:w="120" w:type="dxa"/>
              <w:left w:w="150" w:type="dxa"/>
              <w:bottom w:w="120" w:type="dxa"/>
              <w:right w:w="150" w:type="dxa"/>
            </w:tcMar>
          </w:tcPr>
          <w:p w14:paraId="1EFB8369">
            <w:pPr>
              <w:jc w:val="center"/>
            </w:pPr>
            <w:r>
              <w:rPr>
                <w:rFonts w:ascii="微软雅黑" w:hAnsi="微软雅黑"/>
                <w:b/>
                <w:color w:val="FFFFFF"/>
                <w:sz w:val="20"/>
              </w:rPr>
              <w:t>正多边形</w:t>
            </w:r>
          </w:p>
        </w:tc>
        <w:tc>
          <w:tcPr>
            <w:tcW w:w="1440" w:type="dxa"/>
            <w:shd w:val="clear" w:color="auto" w:fill="1F4E78"/>
            <w:tcMar>
              <w:top w:w="120" w:type="dxa"/>
              <w:left w:w="150" w:type="dxa"/>
              <w:bottom w:w="120" w:type="dxa"/>
              <w:right w:w="150" w:type="dxa"/>
            </w:tcMar>
          </w:tcPr>
          <w:p w14:paraId="32F38B26">
            <w:pPr>
              <w:jc w:val="center"/>
            </w:pPr>
            <w:r>
              <w:rPr>
                <w:rFonts w:ascii="微软雅黑" w:hAnsi="微软雅黑"/>
                <w:b/>
                <w:color w:val="FFFFFF"/>
                <w:sz w:val="20"/>
              </w:rPr>
              <w:t>每个内角</w:t>
            </w:r>
          </w:p>
        </w:tc>
        <w:tc>
          <w:tcPr>
            <w:tcW w:w="1728" w:type="dxa"/>
            <w:shd w:val="clear" w:color="auto" w:fill="1F4E78"/>
            <w:tcMar>
              <w:top w:w="120" w:type="dxa"/>
              <w:left w:w="150" w:type="dxa"/>
              <w:bottom w:w="120" w:type="dxa"/>
              <w:right w:w="150" w:type="dxa"/>
            </w:tcMar>
          </w:tcPr>
          <w:p w14:paraId="15C7E92E">
            <w:pPr>
              <w:jc w:val="center"/>
            </w:pPr>
            <w:r>
              <w:rPr>
                <w:rFonts w:ascii="微软雅黑" w:hAnsi="微软雅黑"/>
                <w:b/>
                <w:color w:val="FFFFFF"/>
                <w:sz w:val="20"/>
              </w:rPr>
              <w:t>能否单独密铺</w:t>
            </w:r>
          </w:p>
        </w:tc>
        <w:tc>
          <w:tcPr>
            <w:tcW w:w="4133" w:type="dxa"/>
            <w:shd w:val="clear" w:color="auto" w:fill="1F4E78"/>
            <w:tcMar>
              <w:top w:w="120" w:type="dxa"/>
              <w:left w:w="150" w:type="dxa"/>
              <w:bottom w:w="120" w:type="dxa"/>
              <w:right w:w="150" w:type="dxa"/>
            </w:tcMar>
          </w:tcPr>
          <w:p w14:paraId="3CC5506E">
            <w:pPr>
              <w:jc w:val="center"/>
            </w:pPr>
            <w:r>
              <w:rPr>
                <w:rFonts w:ascii="微软雅黑" w:hAnsi="微软雅黑"/>
                <w:b/>
                <w:color w:val="FFFFFF"/>
                <w:sz w:val="20"/>
              </w:rPr>
              <w:t>判定（拼接点角和 = 360°）</w:t>
            </w:r>
          </w:p>
        </w:tc>
      </w:tr>
      <w:tr w14:paraId="33D87C2D">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2A9FB0B5">
            <w:pPr>
              <w:jc w:val="center"/>
            </w:pPr>
            <w:r>
              <w:rPr>
                <w:rFonts w:ascii="宋体" w:hAnsi="宋体"/>
                <w:color w:val="333333"/>
                <w:sz w:val="19"/>
              </w:rPr>
              <w:t>正三角形</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0F14262">
            <w:pPr>
              <w:jc w:val="center"/>
            </w:pPr>
            <w:r>
              <w:rPr>
                <w:rFonts w:ascii="宋体" w:hAnsi="宋体"/>
                <w:color w:val="333333"/>
                <w:sz w:val="19"/>
              </w:rPr>
              <w:t>60°</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26D91E0">
            <w:pPr>
              <w:jc w:val="center"/>
            </w:pPr>
            <w:r>
              <w:rPr>
                <w:rFonts w:ascii="宋体" w:hAnsi="宋体"/>
                <w:color w:val="333333"/>
                <w:sz w:val="19"/>
              </w:rPr>
              <w:t>能</w:t>
            </w:r>
          </w:p>
        </w:tc>
        <w:tc>
          <w:tcPr>
            <w:tcW w:w="4133"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7224FC00">
            <w:pPr>
              <w:jc w:val="left"/>
            </w:pPr>
            <w:r>
              <w:rPr>
                <w:rFonts w:ascii="宋体" w:hAnsi="宋体"/>
                <w:color w:val="333333"/>
                <w:sz w:val="19"/>
              </w:rPr>
              <w:t>60° × 6 = 360°</w:t>
            </w:r>
          </w:p>
        </w:tc>
      </w:tr>
      <w:tr w14:paraId="229B3B82">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3BC2BF82">
            <w:pPr>
              <w:jc w:val="center"/>
            </w:pPr>
            <w:r>
              <w:rPr>
                <w:rFonts w:ascii="宋体" w:hAnsi="宋体"/>
                <w:color w:val="333333"/>
                <w:sz w:val="19"/>
              </w:rPr>
              <w:t>正方形</w:t>
            </w:r>
          </w:p>
        </w:tc>
        <w:tc>
          <w:tcPr>
            <w:tcW w:w="1440"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516907E1">
            <w:pPr>
              <w:jc w:val="center"/>
            </w:pPr>
            <w:r>
              <w:rPr>
                <w:rFonts w:ascii="宋体" w:hAnsi="宋体"/>
                <w:color w:val="333333"/>
                <w:sz w:val="19"/>
              </w:rPr>
              <w:t>90°</w:t>
            </w:r>
          </w:p>
        </w:tc>
        <w:tc>
          <w:tcPr>
            <w:tcW w:w="1728"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3029C724">
            <w:pPr>
              <w:jc w:val="center"/>
            </w:pPr>
            <w:r>
              <w:rPr>
                <w:rFonts w:ascii="宋体" w:hAnsi="宋体"/>
                <w:color w:val="333333"/>
                <w:sz w:val="19"/>
              </w:rPr>
              <w:t>能</w:t>
            </w:r>
          </w:p>
        </w:tc>
        <w:tc>
          <w:tcPr>
            <w:tcW w:w="4133"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54B5A7B3">
            <w:pPr>
              <w:jc w:val="left"/>
            </w:pPr>
            <w:r>
              <w:rPr>
                <w:rFonts w:ascii="宋体" w:hAnsi="宋体"/>
                <w:color w:val="333333"/>
                <w:sz w:val="19"/>
              </w:rPr>
              <w:t>90° × 4 = 360°</w:t>
            </w:r>
          </w:p>
        </w:tc>
      </w:tr>
      <w:tr w14:paraId="304C8AA6">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29AE26C">
            <w:pPr>
              <w:jc w:val="center"/>
            </w:pPr>
            <w:r>
              <w:rPr>
                <w:rFonts w:ascii="宋体" w:hAnsi="宋体"/>
                <w:color w:val="333333"/>
                <w:sz w:val="19"/>
              </w:rPr>
              <w:t>正五边形</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B3ABB56">
            <w:pPr>
              <w:jc w:val="center"/>
            </w:pPr>
            <w:r>
              <w:rPr>
                <w:rFonts w:ascii="宋体" w:hAnsi="宋体"/>
                <w:color w:val="333333"/>
                <w:sz w:val="19"/>
              </w:rPr>
              <w:t>108°</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D7EE1D6">
            <w:pPr>
              <w:jc w:val="center"/>
            </w:pPr>
            <w:r>
              <w:rPr>
                <w:rFonts w:ascii="宋体" w:hAnsi="宋体"/>
                <w:color w:val="333333"/>
                <w:sz w:val="19"/>
              </w:rPr>
              <w:t>不能</w:t>
            </w:r>
          </w:p>
        </w:tc>
        <w:tc>
          <w:tcPr>
            <w:tcW w:w="4133"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14B82745">
            <w:pPr>
              <w:jc w:val="left"/>
            </w:pPr>
            <w:r>
              <w:rPr>
                <w:rFonts w:ascii="宋体" w:hAnsi="宋体"/>
                <w:color w:val="333333"/>
                <w:sz w:val="19"/>
              </w:rPr>
              <w:t>108°×3=324°，×4=432°，无整数倍等于360°</w:t>
            </w:r>
          </w:p>
        </w:tc>
      </w:tr>
      <w:tr w14:paraId="51EE21B4">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1D3BFEBA">
            <w:pPr>
              <w:jc w:val="center"/>
            </w:pPr>
            <w:r>
              <w:rPr>
                <w:rFonts w:ascii="宋体" w:hAnsi="宋体"/>
                <w:color w:val="333333"/>
                <w:sz w:val="19"/>
              </w:rPr>
              <w:t>正六边形</w:t>
            </w:r>
          </w:p>
        </w:tc>
        <w:tc>
          <w:tcPr>
            <w:tcW w:w="1440"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1890C777">
            <w:pPr>
              <w:jc w:val="center"/>
            </w:pPr>
            <w:r>
              <w:rPr>
                <w:rFonts w:ascii="宋体" w:hAnsi="宋体"/>
                <w:color w:val="333333"/>
                <w:sz w:val="19"/>
              </w:rPr>
              <w:t>120°</w:t>
            </w:r>
          </w:p>
        </w:tc>
        <w:tc>
          <w:tcPr>
            <w:tcW w:w="1728"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160ED7A9">
            <w:pPr>
              <w:jc w:val="center"/>
            </w:pPr>
            <w:r>
              <w:rPr>
                <w:rFonts w:ascii="宋体" w:hAnsi="宋体"/>
                <w:color w:val="333333"/>
                <w:sz w:val="19"/>
              </w:rPr>
              <w:t>能</w:t>
            </w:r>
          </w:p>
        </w:tc>
        <w:tc>
          <w:tcPr>
            <w:tcW w:w="4133" w:type="dxa"/>
            <w:tcBorders>
              <w:top w:val="single" w:color="D3D3D3" w:sz="4" w:space="0"/>
              <w:left w:val="single" w:color="D3D3D3" w:sz="4" w:space="0"/>
              <w:bottom w:val="single" w:color="D3D3D3" w:sz="4" w:space="0"/>
              <w:right w:val="single" w:color="D3D3D3" w:sz="4" w:space="0"/>
            </w:tcBorders>
            <w:shd w:val="clear" w:color="auto" w:fill="F2F4F7"/>
            <w:tcMar>
              <w:top w:w="100" w:type="dxa"/>
              <w:left w:w="150" w:type="dxa"/>
              <w:bottom w:w="100" w:type="dxa"/>
              <w:right w:w="150" w:type="dxa"/>
            </w:tcMar>
          </w:tcPr>
          <w:p w14:paraId="6C9C7106">
            <w:pPr>
              <w:jc w:val="left"/>
            </w:pPr>
            <w:r>
              <w:rPr>
                <w:rFonts w:ascii="宋体" w:hAnsi="宋体"/>
                <w:color w:val="333333"/>
                <w:sz w:val="19"/>
              </w:rPr>
              <w:t>120° × 3 = 360°</w:t>
            </w:r>
          </w:p>
        </w:tc>
      </w:tr>
      <w:tr w14:paraId="6183074A">
        <w:trPr>
          <w:jc w:val="center"/>
        </w:trPr>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39AC3D39">
            <w:pPr>
              <w:jc w:val="center"/>
            </w:pPr>
            <w:r>
              <w:rPr>
                <w:rFonts w:ascii="宋体" w:hAnsi="宋体"/>
                <w:color w:val="333333"/>
                <w:sz w:val="19"/>
              </w:rPr>
              <w:t>正八边形（拓展）</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6D00736">
            <w:pPr>
              <w:jc w:val="center"/>
            </w:pPr>
            <w:r>
              <w:rPr>
                <w:rFonts w:ascii="宋体" w:hAnsi="宋体"/>
                <w:color w:val="333333"/>
                <w:sz w:val="19"/>
              </w:rPr>
              <w:t>135°</w:t>
            </w:r>
          </w:p>
        </w:tc>
        <w:tc>
          <w:tcPr>
            <w:tcW w:w="1728"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0BF75959">
            <w:pPr>
              <w:jc w:val="center"/>
            </w:pPr>
            <w:r>
              <w:rPr>
                <w:rFonts w:ascii="宋体" w:hAnsi="宋体"/>
                <w:color w:val="333333"/>
                <w:sz w:val="19"/>
              </w:rPr>
              <w:t>不能单独</w:t>
            </w:r>
          </w:p>
        </w:tc>
        <w:tc>
          <w:tcPr>
            <w:tcW w:w="4133" w:type="dxa"/>
            <w:tcBorders>
              <w:top w:val="single" w:color="D3D3D3" w:sz="4" w:space="0"/>
              <w:left w:val="single" w:color="D3D3D3" w:sz="4" w:space="0"/>
              <w:bottom w:val="single" w:color="D3D3D3" w:sz="4" w:space="0"/>
              <w:right w:val="single" w:color="D3D3D3" w:sz="4" w:space="0"/>
            </w:tcBorders>
            <w:shd w:val="clear" w:color="auto" w:fill="FFFFFF"/>
            <w:tcMar>
              <w:top w:w="100" w:type="dxa"/>
              <w:left w:w="150" w:type="dxa"/>
              <w:bottom w:w="100" w:type="dxa"/>
              <w:right w:w="150" w:type="dxa"/>
            </w:tcMar>
          </w:tcPr>
          <w:p w14:paraId="63A1E10D">
            <w:pPr>
              <w:jc w:val="left"/>
            </w:pPr>
            <w:r>
              <w:rPr>
                <w:rFonts w:ascii="宋体" w:hAnsi="宋体"/>
                <w:color w:val="333333"/>
                <w:sz w:val="19"/>
              </w:rPr>
              <w:t>与正方形组合：135°×2 + 90° = 360°</w:t>
            </w:r>
          </w:p>
        </w:tc>
      </w:tr>
    </w:tbl>
    <w:p w14:paraId="2D6B18D1">
      <w:pPr>
        <w:spacing w:before="120" w:after="240"/>
        <w:jc w:val="center"/>
      </w:pPr>
      <w:r>
        <w:rPr>
          <w:rFonts w:ascii="宋体" w:hAnsi="宋体"/>
          <w:i/>
          <w:sz w:val="18"/>
        </w:rPr>
        <w:t>表1　正多边形能否单独密铺（末行为拓展）</w:t>
      </w:r>
    </w:p>
    <w:p w14:paraId="06D11F01">
      <w:r>
        <w:t>表1只是结果，不能停在这里。这节课真正的数学分量，在于带学生把“为什么偏偏是正三、正四、正六”算明白：正n边形每个内角是(n−2)·180°/n，要能单独密铺，每个拼接点就得由整数个这样的角拼满360°，即 360°÷[(n−2)·180°/n] = 2n/(n−2) 必须是正整数。逐一看：n=3、4、6时，这个值分别是6、4、3，都是整数；n=5时是10/3，不是整数——这正是正五边形铺不满的根子；n≥7时，2n/(n−2) 夹在2与3之间（因为 2n/(n−2)=2+4/(n−2)，而 0&lt;4/(n−2)≤4/5&lt;1），也不可能取到整数。所以能单独密铺的正多边形只有正三角形、正方形、正六边形三种。从“查表”走到“算明白”，学生回头审AI的图才真正有底气。</w:t>
      </w:r>
      <w:r>
        <w:br w:type="textWrapping"/>
      </w:r>
      <w:r>
        <w:br w:type="textWrapping"/>
      </w:r>
      <w:r>
        <w:t>需要提醒：上述判定只对“正”多边形。“正五边形不能密铺”不等于“五边形不能密铺”——有多类不规则凸五边形是可以密铺的。若学生查到并提出，应当肯定，并借此说清“正多边形”与“一般多边形”的分野，作为课后拓展[5]。</w:t>
      </w:r>
    </w:p>
    <w:p w14:paraId="66CD1DBD">
      <w:pPr>
        <w:ind w:left="288" w:right="288"/>
      </w:pPr>
      <w:r>
        <w:rPr>
          <w:rFonts w:ascii="宋体" w:hAnsi="宋体"/>
          <w:b/>
          <w:sz w:val="21"/>
        </w:rPr>
        <w:t>在实际教学中，教师可引导学生通过以下三步完成对此高阶问题的探究闭环：</w:t>
      </w:r>
      <w:r>
        <w:rPr>
          <w:rFonts w:ascii="宋体" w:hAnsi="宋体"/>
          <w:b/>
          <w:sz w:val="21"/>
        </w:rPr>
        <w:br w:type="textWrapping"/>
      </w:r>
      <w:r>
        <w:rPr>
          <w:rFonts w:ascii="宋体" w:hAnsi="宋体"/>
          <w:b/>
          <w:sz w:val="21"/>
        </w:rPr>
        <w:t>1. 算理迁移（代数推导）：引导学生计算任意凸五边形的内角和为 (5-2)×180° = 540°。要在拼接点处密铺，其角和必须通过特定角的组合（如三个、四个或五个不同内角的拼接）恰好凑成 360°。以此打破学生“只有同角相加才能密铺”的思维定势。</w:t>
      </w:r>
      <w:r>
        <w:rPr>
          <w:rFonts w:ascii="宋体" w:hAnsi="宋体"/>
          <w:b/>
          <w:sz w:val="21"/>
        </w:rPr>
        <w:br w:type="textWrapping"/>
      </w:r>
      <w:r>
        <w:rPr>
          <w:rFonts w:ascii="宋体" w:hAnsi="宋体"/>
          <w:b/>
          <w:sz w:val="21"/>
        </w:rPr>
        <w:t>2. 动态验证（几何变换）：指导学生利用几何画板（GeoGebra）动态课件，绘制出如“一组对边平行，且另外三边相等”（满足特定的角关系，如 A+B+C=360° 且 D+E=180°）的不规则凸五边形。通过平移和旋转几何变换，直观体验非正多边形在平面上“严丝合缝、无限延伸”的拼接过程。</w:t>
      </w:r>
      <w:r>
        <w:rPr>
          <w:rFonts w:ascii="宋体" w:hAnsi="宋体"/>
          <w:b/>
          <w:sz w:val="21"/>
        </w:rPr>
        <w:br w:type="textWrapping"/>
      </w:r>
      <w:r>
        <w:rPr>
          <w:rFonts w:ascii="宋体" w:hAnsi="宋体"/>
          <w:b/>
          <w:sz w:val="21"/>
        </w:rPr>
        <w:t>3. 探究升华（数学史话）：向学生介绍数学史上“15类能密铺平面的凸五边形”这一百年探索历程，使学生体会数学在“规则与自由”、“局部与整体”之间的深邃张力，从而升华其数学建模素养与科学探究精神。</w:t>
      </w:r>
    </w:p>
    <w:p w14:paraId="40BAE0E2">
      <w:pPr>
        <w:pStyle w:val="4"/>
      </w:pPr>
      <w:r>
        <w:t>3.3　第三件事：让学生从“看着像”走到“算得准”</w:t>
      </w:r>
    </w:p>
    <w:p w14:paraId="666B1A01">
      <w:r>
        <w:t>尺子有了，就把课前挑好的AI作品投上去。下面这一张，是笔者让AI按“画一幅用正五边形密铺的图案”这条指令画出来的。</w:t>
      </w:r>
      <w:r>
        <w:br w:type="textWrapping"/>
      </w:r>
      <w:r>
        <w:br w:type="textWrapping"/>
      </w:r>
      <w:r>
        <w:t>教师：这是AI照“用正五边形密铺”画出来的图。它做到了吗?别急着看，先拿数学量一量。</w:t>
      </w:r>
      <w:r>
        <w:br w:type="textWrapping"/>
      </w:r>
      <w:r>
        <w:t>学生：正五边形一个内角是 (5−2)×180°÷5 = 108°。</w:t>
      </w:r>
      <w:r>
        <w:br w:type="textWrapping"/>
      </w:r>
      <w:r>
        <w:t>学生：拼接点得凑满360°。可是108×3=324不到，108×4=432又超了，没有整数个刚好360!</w:t>
      </w:r>
      <w:r>
        <w:br w:type="textWrapping"/>
      </w:r>
      <w:r>
        <w:t>教师：所以这张图会怎么样?</w:t>
      </w:r>
      <w:r>
        <w:br w:type="textWrapping"/>
      </w:r>
      <w:r>
        <w:t>学生：拼接的地方一定留缝，铺不满。</w:t>
      </w:r>
      <w:r>
        <w:br w:type="textWrapping"/>
      </w:r>
      <w:r>
        <w:t>教师：放大看看（图2）。每个拼接点果然都有一道缝——它画得像，可画的是假密铺。</w:t>
      </w:r>
      <w:r>
        <w:br w:type="textWrapping"/>
      </w:r>
      <w:r>
        <w:t>学生：换正六边形就行，120×3=360，能铺。</w:t>
      </w:r>
      <w:r>
        <w:br w:type="textWrapping"/>
      </w:r>
      <w:r>
        <w:br w:type="textWrapping"/>
      </w:r>
      <w:r>
        <w:t>〔图2位置〕 AI按“用正五边形密铺”指令生成的图案及其拼接点放大（可见缝隙）——此图由教师用备课助手出图后截取，待补入。</w:t>
      </w:r>
      <w:r>
        <w:br w:type="textWrapping"/>
      </w:r>
      <w:r>
        <w:br w:type="textWrapping"/>
      </w:r>
      <w:r>
        <w:t>这段对话里，学生做的事已经不是“认图”，而是拿一个数量条件去否定一个看似成立的结论——这正是推理的样子。此后再看AI的图，他们的第一句话开始从“挺好看”变成“先算算它拼不拼得满”。</w:t>
      </w:r>
    </w:p>
    <w:p w14:paraId="759F147D">
      <w:pPr>
        <w:pStyle w:val="3"/>
      </w:pPr>
      <w:r>
        <w:t>4　评价怎么做，看到了什么</w:t>
      </w:r>
    </w:p>
    <w:p w14:paraId="1B28F530">
      <w:pPr>
        <w:pStyle w:val="4"/>
      </w:pPr>
      <w:r>
        <w:t>4.1　评什么：把证据落在成果上</w:t>
      </w:r>
    </w:p>
    <w:p w14:paraId="4F9F687F">
      <w:r>
        <w:t>这类课最怕评成“谁的图好看”。笔者把评价挂在两样成果上：一份个人的《鉴定报告》（判AI的图合不合法、依据是什么、怎么改），一份小组的镶嵌作品加《设计说明》（单位图案怎么来、用了什么变换、拼接点角和为什么是360°）。权重与证据来源见表2。</w:t>
      </w:r>
    </w:p>
    <w:tbl>
      <w:tblPr>
        <w:tblStyle w:val="32"/>
        <w:tblW w:w="0" w:type="auto"/>
        <w:jc w:val="center"/>
        <w:tblLayout w:type="fixed"/>
        <w:tblCellMar>
          <w:top w:w="0" w:type="dxa"/>
          <w:left w:w="108" w:type="dxa"/>
          <w:bottom w:w="0" w:type="dxa"/>
          <w:right w:w="108" w:type="dxa"/>
        </w:tblCellMar>
      </w:tblPr>
      <w:tblGrid>
        <w:gridCol w:w="3010"/>
        <w:gridCol w:w="3010"/>
        <w:gridCol w:w="3010"/>
      </w:tblGrid>
      <w:tr w14:paraId="3C416B07">
        <w:trPr>
          <w:jc w:val="center"/>
        </w:trPr>
        <w:tc>
          <w:tcPr>
            <w:tcW w:w="3600" w:type="dxa"/>
            <w:shd w:val="clear" w:color="auto" w:fill="2E74B5"/>
            <w:tcMar>
              <w:top w:w="100" w:type="dxa"/>
              <w:left w:w="150" w:type="dxa"/>
              <w:bottom w:w="100" w:type="dxa"/>
              <w:right w:w="150" w:type="dxa"/>
            </w:tcMar>
          </w:tcPr>
          <w:p w14:paraId="0BF50760">
            <w:pPr>
              <w:jc w:val="left"/>
            </w:pPr>
            <w:r>
              <w:rPr>
                <w:rFonts w:ascii="微软雅黑" w:hAnsi="微软雅黑"/>
                <w:b/>
                <w:color w:val="FFFFFF"/>
                <w:sz w:val="20"/>
              </w:rPr>
              <w:t>评价维度</w:t>
            </w:r>
          </w:p>
        </w:tc>
        <w:tc>
          <w:tcPr>
            <w:tcW w:w="1440" w:type="dxa"/>
            <w:shd w:val="clear" w:color="auto" w:fill="2E74B5"/>
            <w:tcMar>
              <w:top w:w="100" w:type="dxa"/>
              <w:left w:w="150" w:type="dxa"/>
              <w:bottom w:w="100" w:type="dxa"/>
              <w:right w:w="150" w:type="dxa"/>
            </w:tcMar>
          </w:tcPr>
          <w:p w14:paraId="7E10F80A">
            <w:pPr>
              <w:jc w:val="center"/>
            </w:pPr>
            <w:r>
              <w:rPr>
                <w:rFonts w:ascii="微软雅黑" w:hAnsi="微软雅黑"/>
                <w:b/>
                <w:color w:val="FFFFFF"/>
                <w:sz w:val="20"/>
              </w:rPr>
              <w:t>权重</w:t>
            </w:r>
          </w:p>
        </w:tc>
        <w:tc>
          <w:tcPr>
            <w:tcW w:w="3989" w:type="dxa"/>
            <w:shd w:val="clear" w:color="auto" w:fill="2E74B5"/>
            <w:tcMar>
              <w:top w:w="100" w:type="dxa"/>
              <w:left w:w="150" w:type="dxa"/>
              <w:bottom w:w="100" w:type="dxa"/>
              <w:right w:w="150" w:type="dxa"/>
            </w:tcMar>
          </w:tcPr>
          <w:p w14:paraId="41997F6D">
            <w:pPr>
              <w:jc w:val="left"/>
            </w:pPr>
            <w:r>
              <w:rPr>
                <w:rFonts w:ascii="微软雅黑" w:hAnsi="微软雅黑"/>
                <w:b/>
                <w:color w:val="FFFFFF"/>
                <w:sz w:val="20"/>
              </w:rPr>
              <w:t>证据来源</w:t>
            </w:r>
          </w:p>
        </w:tc>
      </w:tr>
      <w:tr w14:paraId="5F287E2C">
        <w:trPr>
          <w:jc w:val="center"/>
        </w:trPr>
        <w:tc>
          <w:tcPr>
            <w:tcW w:w="3600"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1A00E7CF">
            <w:pPr>
              <w:jc w:val="left"/>
            </w:pPr>
            <w:r>
              <w:rPr>
                <w:rFonts w:ascii="宋体" w:hAnsi="宋体"/>
                <w:color w:val="333333"/>
                <w:sz w:val="19"/>
              </w:rPr>
              <w:t>密铺合法性的判定（推理）</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73241BC9">
            <w:pPr>
              <w:jc w:val="center"/>
            </w:pPr>
            <w:r>
              <w:rPr>
                <w:rFonts w:ascii="宋体" w:hAnsi="宋体"/>
                <w:color w:val="333333"/>
                <w:sz w:val="19"/>
              </w:rPr>
              <w:t>30%</w:t>
            </w:r>
          </w:p>
        </w:tc>
        <w:tc>
          <w:tcPr>
            <w:tcW w:w="3989"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069029E6">
            <w:pPr>
              <w:jc w:val="left"/>
            </w:pPr>
            <w:r>
              <w:rPr>
                <w:rFonts w:ascii="宋体" w:hAnsi="宋体"/>
                <w:color w:val="333333"/>
                <w:sz w:val="19"/>
              </w:rPr>
              <w:t>《鉴定报告》中的角度计算与结论</w:t>
            </w:r>
          </w:p>
        </w:tc>
      </w:tr>
      <w:tr w14:paraId="141B767A">
        <w:trPr>
          <w:jc w:val="center"/>
        </w:trPr>
        <w:tc>
          <w:tcPr>
            <w:tcW w:w="3600" w:type="dxa"/>
            <w:tcBorders>
              <w:top w:val="single" w:color="D3D3D3" w:sz="4" w:space="0"/>
              <w:left w:val="single" w:color="D3D3D3" w:sz="4" w:space="0"/>
              <w:bottom w:val="single" w:color="D3D3D3" w:sz="4" w:space="0"/>
              <w:right w:val="single" w:color="D3D3D3" w:sz="4" w:space="0"/>
            </w:tcBorders>
            <w:shd w:val="clear" w:color="auto" w:fill="F2F4F7"/>
            <w:tcMar>
              <w:top w:w="80" w:type="dxa"/>
              <w:left w:w="120" w:type="dxa"/>
              <w:bottom w:w="80" w:type="dxa"/>
              <w:right w:w="120" w:type="dxa"/>
            </w:tcMar>
          </w:tcPr>
          <w:p w14:paraId="398B2EAF">
            <w:pPr>
              <w:jc w:val="left"/>
            </w:pPr>
            <w:r>
              <w:rPr>
                <w:rFonts w:ascii="宋体" w:hAnsi="宋体"/>
                <w:color w:val="333333"/>
                <w:sz w:val="19"/>
              </w:rPr>
              <w:t>审辩AI：指出错处并提出修改</w:t>
            </w:r>
          </w:p>
        </w:tc>
        <w:tc>
          <w:tcPr>
            <w:tcW w:w="1440" w:type="dxa"/>
            <w:tcBorders>
              <w:top w:val="single" w:color="D3D3D3" w:sz="4" w:space="0"/>
              <w:left w:val="single" w:color="D3D3D3" w:sz="4" w:space="0"/>
              <w:bottom w:val="single" w:color="D3D3D3" w:sz="4" w:space="0"/>
              <w:right w:val="single" w:color="D3D3D3" w:sz="4" w:space="0"/>
            </w:tcBorders>
            <w:shd w:val="clear" w:color="auto" w:fill="F2F4F7"/>
            <w:tcMar>
              <w:top w:w="80" w:type="dxa"/>
              <w:left w:w="120" w:type="dxa"/>
              <w:bottom w:w="80" w:type="dxa"/>
              <w:right w:w="120" w:type="dxa"/>
            </w:tcMar>
          </w:tcPr>
          <w:p w14:paraId="66C1ED55">
            <w:pPr>
              <w:jc w:val="center"/>
            </w:pPr>
            <w:r>
              <w:rPr>
                <w:rFonts w:ascii="宋体" w:hAnsi="宋体"/>
                <w:color w:val="333333"/>
                <w:sz w:val="19"/>
              </w:rPr>
              <w:t>30%</w:t>
            </w:r>
          </w:p>
        </w:tc>
        <w:tc>
          <w:tcPr>
            <w:tcW w:w="3989" w:type="dxa"/>
            <w:tcBorders>
              <w:top w:val="single" w:color="D3D3D3" w:sz="4" w:space="0"/>
              <w:left w:val="single" w:color="D3D3D3" w:sz="4" w:space="0"/>
              <w:bottom w:val="single" w:color="D3D3D3" w:sz="4" w:space="0"/>
              <w:right w:val="single" w:color="D3D3D3" w:sz="4" w:space="0"/>
            </w:tcBorders>
            <w:shd w:val="clear" w:color="auto" w:fill="F2F4F7"/>
            <w:tcMar>
              <w:top w:w="80" w:type="dxa"/>
              <w:left w:w="120" w:type="dxa"/>
              <w:bottom w:w="80" w:type="dxa"/>
              <w:right w:w="120" w:type="dxa"/>
            </w:tcMar>
          </w:tcPr>
          <w:p w14:paraId="0D41F035">
            <w:pPr>
              <w:jc w:val="left"/>
            </w:pPr>
            <w:r>
              <w:rPr>
                <w:rFonts w:ascii="宋体" w:hAnsi="宋体"/>
                <w:color w:val="333333"/>
                <w:sz w:val="19"/>
              </w:rPr>
              <w:t>《鉴定报告》、课堂共审发言、平台作答</w:t>
            </w:r>
          </w:p>
        </w:tc>
      </w:tr>
      <w:tr w14:paraId="084DFBFD">
        <w:trPr>
          <w:jc w:val="center"/>
        </w:trPr>
        <w:tc>
          <w:tcPr>
            <w:tcW w:w="3600"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593C940E">
            <w:pPr>
              <w:jc w:val="left"/>
            </w:pPr>
            <w:r>
              <w:rPr>
                <w:rFonts w:ascii="宋体" w:hAnsi="宋体"/>
                <w:color w:val="333333"/>
                <w:sz w:val="19"/>
              </w:rPr>
              <w:t>识别单位纹样与变换</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3EEF6B14">
            <w:pPr>
              <w:jc w:val="center"/>
            </w:pPr>
            <w:r>
              <w:rPr>
                <w:rFonts w:ascii="宋体" w:hAnsi="宋体"/>
                <w:color w:val="333333"/>
                <w:sz w:val="19"/>
              </w:rPr>
              <w:t>15%</w:t>
            </w:r>
          </w:p>
        </w:tc>
        <w:tc>
          <w:tcPr>
            <w:tcW w:w="3989"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0A0C631A">
            <w:pPr>
              <w:jc w:val="left"/>
            </w:pPr>
            <w:r>
              <w:rPr>
                <w:rFonts w:ascii="宋体" w:hAnsi="宋体"/>
                <w:color w:val="333333"/>
                <w:sz w:val="19"/>
              </w:rPr>
              <w:t>辨变换环节的平台作答</w:t>
            </w:r>
          </w:p>
        </w:tc>
      </w:tr>
      <w:tr w14:paraId="79D73987">
        <w:trPr>
          <w:jc w:val="center"/>
        </w:trPr>
        <w:tc>
          <w:tcPr>
            <w:tcW w:w="3600" w:type="dxa"/>
            <w:tcBorders>
              <w:top w:val="single" w:color="D3D3D3" w:sz="4" w:space="0"/>
              <w:left w:val="single" w:color="D3D3D3" w:sz="4" w:space="0"/>
              <w:bottom w:val="single" w:color="D3D3D3" w:sz="4" w:space="0"/>
              <w:right w:val="single" w:color="D3D3D3" w:sz="4" w:space="0"/>
            </w:tcBorders>
            <w:shd w:val="clear" w:color="auto" w:fill="F2F4F7"/>
            <w:tcMar>
              <w:top w:w="80" w:type="dxa"/>
              <w:left w:w="120" w:type="dxa"/>
              <w:bottom w:w="80" w:type="dxa"/>
              <w:right w:w="120" w:type="dxa"/>
            </w:tcMar>
          </w:tcPr>
          <w:p w14:paraId="7A462E22">
            <w:pPr>
              <w:jc w:val="left"/>
            </w:pPr>
            <w:r>
              <w:rPr>
                <w:rFonts w:ascii="宋体" w:hAnsi="宋体"/>
                <w:color w:val="333333"/>
                <w:sz w:val="19"/>
              </w:rPr>
              <w:t>作品创作与设计说明</w:t>
            </w:r>
          </w:p>
        </w:tc>
        <w:tc>
          <w:tcPr>
            <w:tcW w:w="1440" w:type="dxa"/>
            <w:tcBorders>
              <w:top w:val="single" w:color="D3D3D3" w:sz="4" w:space="0"/>
              <w:left w:val="single" w:color="D3D3D3" w:sz="4" w:space="0"/>
              <w:bottom w:val="single" w:color="D3D3D3" w:sz="4" w:space="0"/>
              <w:right w:val="single" w:color="D3D3D3" w:sz="4" w:space="0"/>
            </w:tcBorders>
            <w:shd w:val="clear" w:color="auto" w:fill="F2F4F7"/>
            <w:tcMar>
              <w:top w:w="80" w:type="dxa"/>
              <w:left w:w="120" w:type="dxa"/>
              <w:bottom w:w="80" w:type="dxa"/>
              <w:right w:w="120" w:type="dxa"/>
            </w:tcMar>
          </w:tcPr>
          <w:p w14:paraId="0A64CF31">
            <w:pPr>
              <w:jc w:val="center"/>
            </w:pPr>
            <w:r>
              <w:rPr>
                <w:rFonts w:ascii="宋体" w:hAnsi="宋体"/>
                <w:color w:val="333333"/>
                <w:sz w:val="19"/>
              </w:rPr>
              <w:t>15%</w:t>
            </w:r>
          </w:p>
        </w:tc>
        <w:tc>
          <w:tcPr>
            <w:tcW w:w="3989" w:type="dxa"/>
            <w:tcBorders>
              <w:top w:val="single" w:color="D3D3D3" w:sz="4" w:space="0"/>
              <w:left w:val="single" w:color="D3D3D3" w:sz="4" w:space="0"/>
              <w:bottom w:val="single" w:color="D3D3D3" w:sz="4" w:space="0"/>
              <w:right w:val="single" w:color="D3D3D3" w:sz="4" w:space="0"/>
            </w:tcBorders>
            <w:shd w:val="clear" w:color="auto" w:fill="F2F4F7"/>
            <w:tcMar>
              <w:top w:w="80" w:type="dxa"/>
              <w:left w:w="120" w:type="dxa"/>
              <w:bottom w:w="80" w:type="dxa"/>
              <w:right w:w="120" w:type="dxa"/>
            </w:tcMar>
          </w:tcPr>
          <w:p w14:paraId="3B58936E">
            <w:pPr>
              <w:jc w:val="left"/>
            </w:pPr>
            <w:r>
              <w:rPr>
                <w:rFonts w:ascii="宋体" w:hAnsi="宋体"/>
                <w:color w:val="333333"/>
                <w:sz w:val="19"/>
              </w:rPr>
              <w:t>小组作品与《设计说明》</w:t>
            </w:r>
          </w:p>
        </w:tc>
      </w:tr>
      <w:tr w14:paraId="6ADDA3F3">
        <w:trPr>
          <w:jc w:val="center"/>
        </w:trPr>
        <w:tc>
          <w:tcPr>
            <w:tcW w:w="3600"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606FAA73">
            <w:pPr>
              <w:jc w:val="left"/>
            </w:pPr>
            <w:r>
              <w:rPr>
                <w:rFonts w:ascii="宋体" w:hAnsi="宋体"/>
                <w:color w:val="333333"/>
                <w:sz w:val="19"/>
              </w:rPr>
              <w:t>协作与互评</w:t>
            </w:r>
          </w:p>
        </w:tc>
        <w:tc>
          <w:tcPr>
            <w:tcW w:w="1440"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6EA0A795">
            <w:pPr>
              <w:jc w:val="center"/>
            </w:pPr>
            <w:r>
              <w:rPr>
                <w:rFonts w:ascii="宋体" w:hAnsi="宋体"/>
                <w:color w:val="333333"/>
                <w:sz w:val="19"/>
              </w:rPr>
              <w:t>10%</w:t>
            </w:r>
          </w:p>
        </w:tc>
        <w:tc>
          <w:tcPr>
            <w:tcW w:w="3989" w:type="dxa"/>
            <w:tcBorders>
              <w:top w:val="single" w:color="D3D3D3" w:sz="4" w:space="0"/>
              <w:left w:val="single" w:color="D3D3D3" w:sz="4" w:space="0"/>
              <w:bottom w:val="single" w:color="D3D3D3" w:sz="4" w:space="0"/>
              <w:right w:val="single" w:color="D3D3D3" w:sz="4" w:space="0"/>
            </w:tcBorders>
            <w:shd w:val="clear" w:color="auto" w:fill="FFFFFF"/>
            <w:tcMar>
              <w:top w:w="80" w:type="dxa"/>
              <w:left w:w="120" w:type="dxa"/>
              <w:bottom w:w="80" w:type="dxa"/>
              <w:right w:w="120" w:type="dxa"/>
            </w:tcMar>
          </w:tcPr>
          <w:p w14:paraId="42CC4E61">
            <w:pPr>
              <w:jc w:val="left"/>
            </w:pPr>
            <w:r>
              <w:rPr>
                <w:rFonts w:ascii="宋体" w:hAnsi="宋体"/>
                <w:color w:val="333333"/>
                <w:sz w:val="19"/>
              </w:rPr>
              <w:t>讨论区发言、同伴互评</w:t>
            </w:r>
          </w:p>
        </w:tc>
      </w:tr>
    </w:tbl>
    <w:p w14:paraId="4E161ED6">
      <w:pPr>
        <w:spacing w:before="120" w:after="240"/>
        <w:jc w:val="center"/>
      </w:pPr>
      <w:r>
        <w:rPr>
          <w:rFonts w:ascii="宋体" w:hAnsi="宋体"/>
          <w:i/>
          <w:sz w:val="18"/>
        </w:rPr>
        <w:t>表2　评价维度、权重与证据来源（合计100%）</w:t>
      </w:r>
    </w:p>
    <w:p w14:paraId="7A446F17">
      <w:pPr>
        <w:ind w:left="288" w:right="288"/>
      </w:pPr>
      <w:r>
        <w:rPr>
          <w:rFonts w:ascii="宋体" w:hAnsi="宋体"/>
          <w:b/>
          <w:sz w:val="21"/>
        </w:rPr>
        <w:t>为了切实保障“教—学—评”一致性的落地，本主题活动的评价维度与第3节图1所示的推进路线（辨、证、鉴、创）建立了严密的逻辑对齐与证据链映射（表2）：</w:t>
      </w:r>
      <w:r>
        <w:rPr>
          <w:rFonts w:ascii="宋体" w:hAnsi="宋体"/>
          <w:b/>
          <w:sz w:val="21"/>
        </w:rPr>
        <w:br w:type="textWrapping"/>
      </w:r>
      <w:r>
        <w:rPr>
          <w:rFonts w:ascii="宋体" w:hAnsi="宋体"/>
          <w:b/>
          <w:sz w:val="21"/>
        </w:rPr>
        <w:t>• “辨变换”阶段：对应“识别单位纹样与变换”维度（权重15%），证据来源于数字平台当堂收集的学生画图与连线痕迹；</w:t>
      </w:r>
      <w:r>
        <w:rPr>
          <w:rFonts w:ascii="宋体" w:hAnsi="宋体"/>
          <w:b/>
          <w:sz w:val="21"/>
        </w:rPr>
        <w:br w:type="textWrapping"/>
      </w:r>
      <w:r>
        <w:rPr>
          <w:rFonts w:ascii="宋体" w:hAnsi="宋体"/>
          <w:b/>
          <w:sz w:val="21"/>
        </w:rPr>
        <w:t>• “先猜后证”阶段：对应“密铺合法性的判定”维度（权重30%），重点通过《鉴定报告》中的定量角度计算考核其几何逻辑推理能力；</w:t>
      </w:r>
      <w:r>
        <w:rPr>
          <w:rFonts w:ascii="宋体" w:hAnsi="宋体"/>
          <w:b/>
          <w:sz w:val="21"/>
        </w:rPr>
        <w:br w:type="textWrapping"/>
      </w:r>
      <w:r>
        <w:rPr>
          <w:rFonts w:ascii="宋体" w:hAnsi="宋体"/>
          <w:b/>
          <w:sz w:val="21"/>
        </w:rPr>
        <w:t>• “鉴定AI作品”阶段：对应“审辩AI：指出错处并提出修改”维度（权重30%），考核学生在真实纠错情境中的批判性思维与说理水平；</w:t>
      </w:r>
      <w:r>
        <w:rPr>
          <w:rFonts w:ascii="宋体" w:hAnsi="宋体"/>
          <w:b/>
          <w:sz w:val="21"/>
        </w:rPr>
        <w:br w:type="textWrapping"/>
      </w:r>
      <w:r>
        <w:rPr>
          <w:rFonts w:ascii="宋体" w:hAnsi="宋体"/>
          <w:b/>
          <w:sz w:val="21"/>
        </w:rPr>
        <w:t>• “自己作品设计”阶段：对应“作品创作与设计说明”维度（权重15%），综合检验学生在艺术设计中遵守数学法理的建模应用能力。</w:t>
      </w:r>
      <w:r>
        <w:rPr>
          <w:rFonts w:ascii="宋体" w:hAnsi="宋体"/>
          <w:b/>
          <w:sz w:val="21"/>
        </w:rPr>
        <w:br w:type="textWrapping"/>
      </w:r>
      <w:r>
        <w:rPr>
          <w:rFonts w:ascii="宋体" w:hAnsi="宋体"/>
          <w:b/>
          <w:sz w:val="21"/>
        </w:rPr>
        <w:t>这一对齐机制确保了评价不仅仅在课后发生，而是作为支架贯穿于整个教学流向之中。</w:t>
      </w:r>
    </w:p>
    <w:p w14:paraId="0B30444B">
      <w:pPr>
        <w:pStyle w:val="4"/>
      </w:pPr>
      <w:r>
        <w:t>4.2　平台不只是留个记录，它让笔者当场改了教法</w:t>
      </w:r>
    </w:p>
    <w:p w14:paraId="4193EBF6">
      <w:r>
        <w:t>这一点想单独说。用“三个助手”，好处不在于把学生的答案存下来，而在于笔者能当场看见——猜想那一步的统计一出来，就知道有相当一部分学生认为正五边形能密铺（示例：47人中约22人）。换在从前，举手表决只看得见几个积极的孩子，这个分歧未必浮出水面。看见了，笔者就临时加了一轮小组辩论，让持两种意见的学生各自说理由，再一起去算——教学顺序是被数据改掉的。</w:t>
      </w:r>
      <w:r>
        <w:br w:type="textWrapping"/>
      </w:r>
      <w:r>
        <w:br w:type="textWrapping"/>
      </w:r>
      <w:r>
        <w:t>笔者以为，这才是数字平台在数学课上真正的用处：把原本看不见的分歧变成看得见的分歧，让教师据此决定下一步讲什么。否则它只是个答题器。</w:t>
      </w:r>
    </w:p>
    <w:p w14:paraId="6737F6D8">
      <w:pPr>
        <w:pStyle w:val="4"/>
      </w:pPr>
      <w:r>
        <w:t>4.3　初步看到的变化</w:t>
      </w:r>
    </w:p>
    <w:p w14:paraId="73B0BB33">
      <w:r>
        <w:t>笔者所带班级47人，整体中上。预演与初步观察中有三点变化值得记录，但都还需更多证据：一是判断的起点变了，看到AI的图先算角、后下结论；二是说理有了依据，从“看着有缝”变成“108°×3只有324°，凑不满”；三是做自己的作品时会主动验一验——有一组原想用五角星当单位图案，算过发现凑不满360°就换掉了，还把这段过程写进了《设计说明》。这一条笔者尤其看重：它说明学生已经把“好看”让给了“合法”。</w:t>
      </w:r>
      <w:r>
        <w:br w:type="textWrapping"/>
      </w:r>
      <w:r>
        <w:br w:type="textWrapping"/>
      </w:r>
      <w:r>
        <w:t>为便于同行在常态课中进行可观测、可操作的质量评估，笔者针对核心评价成果——《鉴定报告》设计了细化的分层评估量规，并提炼了不同层级学生的典型作答样例（见表3）。</w:t>
      </w:r>
    </w:p>
    <w:tbl>
      <w:tblPr>
        <w:tblStyle w:val="32"/>
        <w:tblW w:w="0" w:type="auto"/>
        <w:jc w:val="center"/>
        <w:tblLayout w:type="fixed"/>
        <w:tblCellMar>
          <w:top w:w="0" w:type="dxa"/>
          <w:left w:w="108" w:type="dxa"/>
          <w:bottom w:w="0" w:type="dxa"/>
          <w:right w:w="108" w:type="dxa"/>
        </w:tblCellMar>
      </w:tblPr>
      <w:tblGrid>
        <w:gridCol w:w="2257"/>
        <w:gridCol w:w="2257"/>
        <w:gridCol w:w="2257"/>
        <w:gridCol w:w="2257"/>
      </w:tblGrid>
      <w:tr w14:paraId="32676AD1">
        <w:trPr>
          <w:jc w:val="center"/>
        </w:trPr>
        <w:tc>
          <w:tcPr>
            <w:tcW w:w="1584" w:type="dxa"/>
            <w:shd w:val="clear" w:color="auto" w:fill="1F4E78"/>
            <w:tcMar>
              <w:top w:w="100" w:type="dxa"/>
              <w:left w:w="100" w:type="dxa"/>
              <w:bottom w:w="100" w:type="dxa"/>
              <w:right w:w="100" w:type="dxa"/>
            </w:tcMar>
          </w:tcPr>
          <w:p w14:paraId="541C5EA0">
            <w:pPr>
              <w:jc w:val="center"/>
            </w:pPr>
            <w:r>
              <w:rPr>
                <w:rFonts w:ascii="微软雅黑" w:hAnsi="微软雅黑"/>
                <w:b/>
                <w:color w:val="FFFFFF"/>
                <w:sz w:val="18"/>
              </w:rPr>
              <w:t>评价层级</w:t>
            </w:r>
          </w:p>
        </w:tc>
        <w:tc>
          <w:tcPr>
            <w:tcW w:w="2592" w:type="dxa"/>
            <w:shd w:val="clear" w:color="auto" w:fill="1F4E78"/>
            <w:tcMar>
              <w:top w:w="100" w:type="dxa"/>
              <w:left w:w="100" w:type="dxa"/>
              <w:bottom w:w="100" w:type="dxa"/>
              <w:right w:w="100" w:type="dxa"/>
            </w:tcMar>
          </w:tcPr>
          <w:p w14:paraId="188AE919">
            <w:pPr>
              <w:jc w:val="center"/>
            </w:pPr>
            <w:r>
              <w:rPr>
                <w:rFonts w:ascii="微软雅黑" w:hAnsi="微软雅黑"/>
                <w:b/>
                <w:color w:val="FFFFFF"/>
                <w:sz w:val="18"/>
              </w:rPr>
              <w:t>评估标准（维度表现）</w:t>
            </w:r>
          </w:p>
        </w:tc>
        <w:tc>
          <w:tcPr>
            <w:tcW w:w="3024" w:type="dxa"/>
            <w:shd w:val="clear" w:color="auto" w:fill="1F4E78"/>
            <w:tcMar>
              <w:top w:w="100" w:type="dxa"/>
              <w:left w:w="100" w:type="dxa"/>
              <w:bottom w:w="100" w:type="dxa"/>
              <w:right w:w="100" w:type="dxa"/>
            </w:tcMar>
          </w:tcPr>
          <w:p w14:paraId="18D7B327">
            <w:pPr>
              <w:jc w:val="center"/>
            </w:pPr>
            <w:r>
              <w:rPr>
                <w:rFonts w:ascii="微软雅黑" w:hAnsi="微软雅黑"/>
                <w:b/>
                <w:color w:val="FFFFFF"/>
                <w:sz w:val="18"/>
              </w:rPr>
              <w:t>典型学生作答样例</w:t>
            </w:r>
          </w:p>
        </w:tc>
        <w:tc>
          <w:tcPr>
            <w:tcW w:w="2160" w:type="dxa"/>
            <w:shd w:val="clear" w:color="auto" w:fill="1F4E78"/>
            <w:tcMar>
              <w:top w:w="100" w:type="dxa"/>
              <w:left w:w="100" w:type="dxa"/>
              <w:bottom w:w="100" w:type="dxa"/>
              <w:right w:w="100" w:type="dxa"/>
            </w:tcMar>
          </w:tcPr>
          <w:p w14:paraId="65A2BBE0">
            <w:pPr>
              <w:jc w:val="center"/>
            </w:pPr>
            <w:r>
              <w:rPr>
                <w:rFonts w:ascii="微软雅黑" w:hAnsi="微软雅黑"/>
                <w:b/>
                <w:color w:val="FFFFFF"/>
                <w:sz w:val="18"/>
              </w:rPr>
              <w:t>深度诊断与教学干预策略</w:t>
            </w:r>
          </w:p>
        </w:tc>
      </w:tr>
      <w:tr w14:paraId="15C88000">
        <w:trPr>
          <w:jc w:val="center"/>
        </w:trPr>
        <w:tc>
          <w:tcPr>
            <w:tcW w:w="1584"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1F83A016">
            <w:pPr>
              <w:jc w:val="center"/>
            </w:pPr>
            <w:r>
              <w:rPr>
                <w:rFonts w:ascii="微软雅黑" w:hAnsi="微软雅黑"/>
                <w:b/>
                <w:color w:val="333333"/>
                <w:sz w:val="17"/>
              </w:rPr>
              <w:t>第一层：</w:t>
            </w:r>
            <w:r>
              <w:rPr>
                <w:rFonts w:ascii="微软雅黑" w:hAnsi="微软雅黑"/>
                <w:b/>
                <w:color w:val="333333"/>
                <w:sz w:val="17"/>
              </w:rPr>
              <w:br w:type="textWrapping"/>
            </w:r>
            <w:r>
              <w:rPr>
                <w:rFonts w:ascii="微软雅黑" w:hAnsi="微软雅黑"/>
                <w:b/>
                <w:color w:val="333333"/>
                <w:sz w:val="17"/>
              </w:rPr>
              <w:t>直观感觉层</w:t>
            </w:r>
            <w:r>
              <w:rPr>
                <w:rFonts w:ascii="微软雅黑" w:hAnsi="微软雅黑"/>
                <w:b/>
                <w:color w:val="333333"/>
                <w:sz w:val="17"/>
              </w:rPr>
              <w:br w:type="textWrapping"/>
            </w:r>
            <w:r>
              <w:rPr>
                <w:rFonts w:ascii="微软雅黑" w:hAnsi="微软雅黑"/>
                <w:b/>
                <w:color w:val="333333"/>
                <w:sz w:val="17"/>
              </w:rPr>
              <w:t>(0~10分)</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0887BF2C">
            <w:pPr>
              <w:jc w:val="left"/>
            </w:pPr>
            <w:r>
              <w:rPr>
                <w:rFonts w:ascii="宋体" w:hAnsi="宋体"/>
                <w:color w:val="333333"/>
                <w:sz w:val="17"/>
              </w:rPr>
              <w:t>• 无法调用几何公式计算，仅凭借肉眼视觉直觉或对AI大模型的过度信任下结论；</w:t>
            </w:r>
            <w:r>
              <w:rPr>
                <w:rFonts w:ascii="宋体" w:hAnsi="宋体"/>
                <w:color w:val="333333"/>
                <w:sz w:val="17"/>
              </w:rPr>
              <w:br w:type="textWrapping"/>
            </w:r>
            <w:r>
              <w:rPr>
                <w:rFonts w:ascii="宋体" w:hAnsi="宋体"/>
                <w:color w:val="333333"/>
                <w:sz w:val="17"/>
              </w:rPr>
              <w:t>• 虽得出结论，但无任何数学说理过程或计算过程错误。</w:t>
            </w:r>
          </w:p>
        </w:tc>
        <w:tc>
          <w:tcPr>
            <w:tcW w:w="3024"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43C44EE5">
            <w:pPr>
              <w:jc w:val="left"/>
            </w:pPr>
            <w:r>
              <w:rPr>
                <w:rFonts w:ascii="宋体" w:hAnsi="宋体"/>
                <w:color w:val="333333"/>
                <w:sz w:val="17"/>
              </w:rPr>
              <w:t>“我认为这张正五边形密铺图是真的，因为AI画得很精致，颜色也很漂亮。虽然我放大仔细看，边缘好像有一些黑色的小缝隙，但那可能只是AI打印或者显示的分辨率问题，整体上它确实已经铺满了。”</w:t>
            </w:r>
          </w:p>
        </w:tc>
        <w:tc>
          <w:tcPr>
            <w:tcW w:w="2160"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434AC70B">
            <w:pPr>
              <w:jc w:val="left"/>
            </w:pPr>
            <w:r>
              <w:rPr>
                <w:rFonts w:ascii="宋体" w:hAnsi="宋体"/>
                <w:color w:val="333333"/>
                <w:sz w:val="17"/>
              </w:rPr>
              <w:t>【问题诊断】 处于直观直觉阶段，尚未建立“用数学尺度重审视觉直觉”的意识。</w:t>
            </w:r>
            <w:r>
              <w:rPr>
                <w:rFonts w:ascii="宋体" w:hAnsi="宋体"/>
                <w:color w:val="333333"/>
                <w:sz w:val="17"/>
              </w:rPr>
              <w:br w:type="textWrapping"/>
            </w:r>
            <w:r>
              <w:rPr>
                <w:rFonts w:ascii="宋体" w:hAnsi="宋体"/>
                <w:color w:val="333333"/>
                <w:sz w:val="17"/>
              </w:rPr>
              <w:br w:type="textWrapping"/>
            </w:r>
            <w:r>
              <w:rPr>
                <w:rFonts w:ascii="宋体" w:hAnsi="宋体"/>
                <w:color w:val="333333"/>
                <w:sz w:val="17"/>
              </w:rPr>
              <w:t>【干预方法】 教师需用实物教具让其动手拼接，通过物理冲突唤醒其算理需求。</w:t>
            </w:r>
          </w:p>
        </w:tc>
      </w:tr>
      <w:tr w14:paraId="14B09F21">
        <w:trPr>
          <w:jc w:val="center"/>
        </w:trPr>
        <w:tc>
          <w:tcPr>
            <w:tcW w:w="1584" w:type="dxa"/>
            <w:tcBorders>
              <w:top w:val="single" w:color="D3D3D3" w:sz="4" w:space="0"/>
              <w:left w:val="single" w:color="D3D3D3" w:sz="4" w:space="0"/>
              <w:bottom w:val="single" w:color="D3D3D3" w:sz="4" w:space="0"/>
              <w:right w:val="single" w:color="D3D3D3" w:sz="4" w:space="0"/>
            </w:tcBorders>
            <w:shd w:val="clear" w:color="auto" w:fill="F2F4F7"/>
            <w:tcMar>
              <w:top w:w="80" w:type="dxa"/>
              <w:left w:w="80" w:type="dxa"/>
              <w:bottom w:w="80" w:type="dxa"/>
              <w:right w:w="80" w:type="dxa"/>
            </w:tcMar>
          </w:tcPr>
          <w:p w14:paraId="5E746EE1">
            <w:pPr>
              <w:jc w:val="center"/>
            </w:pPr>
            <w:r>
              <w:rPr>
                <w:rFonts w:ascii="微软雅黑" w:hAnsi="微软雅黑"/>
                <w:b/>
                <w:color w:val="333333"/>
                <w:sz w:val="17"/>
              </w:rPr>
              <w:t>第二层：</w:t>
            </w:r>
            <w:r>
              <w:rPr>
                <w:rFonts w:ascii="微软雅黑" w:hAnsi="微软雅黑"/>
                <w:b/>
                <w:color w:val="333333"/>
                <w:sz w:val="17"/>
              </w:rPr>
              <w:br w:type="textWrapping"/>
            </w:r>
            <w:r>
              <w:rPr>
                <w:rFonts w:ascii="微软雅黑" w:hAnsi="微软雅黑"/>
                <w:b/>
                <w:color w:val="333333"/>
                <w:sz w:val="17"/>
              </w:rPr>
              <w:t>定性说理层</w:t>
            </w:r>
            <w:r>
              <w:rPr>
                <w:rFonts w:ascii="微软雅黑" w:hAnsi="微软雅黑"/>
                <w:b/>
                <w:color w:val="333333"/>
                <w:sz w:val="17"/>
              </w:rPr>
              <w:br w:type="textWrapping"/>
            </w:r>
            <w:r>
              <w:rPr>
                <w:rFonts w:ascii="微软雅黑" w:hAnsi="微软雅黑"/>
                <w:b/>
                <w:color w:val="333333"/>
                <w:sz w:val="17"/>
              </w:rPr>
              <w:t>(11~20分)</w:t>
            </w:r>
          </w:p>
        </w:tc>
        <w:tc>
          <w:tcPr>
            <w:tcW w:w="2592" w:type="dxa"/>
            <w:tcBorders>
              <w:top w:val="single" w:color="D3D3D3" w:sz="4" w:space="0"/>
              <w:left w:val="single" w:color="D3D3D3" w:sz="4" w:space="0"/>
              <w:bottom w:val="single" w:color="D3D3D3" w:sz="4" w:space="0"/>
              <w:right w:val="single" w:color="D3D3D3" w:sz="4" w:space="0"/>
            </w:tcBorders>
            <w:shd w:val="clear" w:color="auto" w:fill="F2F4F7"/>
            <w:tcMar>
              <w:top w:w="80" w:type="dxa"/>
              <w:left w:w="80" w:type="dxa"/>
              <w:bottom w:w="80" w:type="dxa"/>
              <w:right w:w="80" w:type="dxa"/>
            </w:tcMar>
          </w:tcPr>
          <w:p w14:paraId="69ACDECC">
            <w:pPr>
              <w:jc w:val="left"/>
            </w:pPr>
            <w:r>
              <w:rPr>
                <w:rFonts w:ascii="宋体" w:hAnsi="宋体"/>
                <w:color w:val="333333"/>
                <w:sz w:val="17"/>
              </w:rPr>
              <w:t>• 能定性分析或准确算出正五边形内角为108°；</w:t>
            </w:r>
            <w:r>
              <w:rPr>
                <w:rFonts w:ascii="宋体" w:hAnsi="宋体"/>
                <w:color w:val="333333"/>
                <w:sz w:val="17"/>
              </w:rPr>
              <w:br w:type="textWrapping"/>
            </w:r>
            <w:r>
              <w:rPr>
                <w:rFonts w:ascii="宋体" w:hAnsi="宋体"/>
                <w:color w:val="333333"/>
                <w:sz w:val="17"/>
              </w:rPr>
              <w:t>• 能指出拼接点角度不能凑成360°，但依据说不全，未能完整论证任意正整数倍均不成立，说理存在逻辑漏洞。</w:t>
            </w:r>
          </w:p>
        </w:tc>
        <w:tc>
          <w:tcPr>
            <w:tcW w:w="3024" w:type="dxa"/>
            <w:tcBorders>
              <w:top w:val="single" w:color="D3D3D3" w:sz="4" w:space="0"/>
              <w:left w:val="single" w:color="D3D3D3" w:sz="4" w:space="0"/>
              <w:bottom w:val="single" w:color="D3D3D3" w:sz="4" w:space="0"/>
              <w:right w:val="single" w:color="D3D3D3" w:sz="4" w:space="0"/>
            </w:tcBorders>
            <w:shd w:val="clear" w:color="auto" w:fill="F2F4F7"/>
            <w:tcMar>
              <w:top w:w="80" w:type="dxa"/>
              <w:left w:w="80" w:type="dxa"/>
              <w:bottom w:w="80" w:type="dxa"/>
              <w:right w:w="80" w:type="dxa"/>
            </w:tcMar>
          </w:tcPr>
          <w:p w14:paraId="7C8CEE39">
            <w:pPr>
              <w:jc w:val="left"/>
            </w:pPr>
            <w:r>
              <w:rPr>
                <w:rFonts w:ascii="宋体" w:hAnsi="宋体"/>
                <w:color w:val="333333"/>
                <w:sz w:val="17"/>
              </w:rPr>
              <w:t>“AI画错了。因为正五边形的一个内角是108°。如果3个拼在一起是 108° × 3 = 324°，不到360°，就会留下36°的缝隙；要是拼4个就是 108° × 4 = 432°，又叠在一起了。所以正五边形怎么也铺不满。” *(注：未严密论证为什么拼接点处不能是其他个数个角拼合)*</w:t>
            </w:r>
          </w:p>
        </w:tc>
        <w:tc>
          <w:tcPr>
            <w:tcW w:w="2160" w:type="dxa"/>
            <w:tcBorders>
              <w:top w:val="single" w:color="D3D3D3" w:sz="4" w:space="0"/>
              <w:left w:val="single" w:color="D3D3D3" w:sz="4" w:space="0"/>
              <w:bottom w:val="single" w:color="D3D3D3" w:sz="4" w:space="0"/>
              <w:right w:val="single" w:color="D3D3D3" w:sz="4" w:space="0"/>
            </w:tcBorders>
            <w:shd w:val="clear" w:color="auto" w:fill="F2F4F7"/>
            <w:tcMar>
              <w:top w:w="80" w:type="dxa"/>
              <w:left w:w="80" w:type="dxa"/>
              <w:bottom w:w="80" w:type="dxa"/>
              <w:right w:w="80" w:type="dxa"/>
            </w:tcMar>
          </w:tcPr>
          <w:p w14:paraId="2D5CD579">
            <w:pPr>
              <w:jc w:val="left"/>
            </w:pPr>
            <w:r>
              <w:rPr>
                <w:rFonts w:ascii="宋体" w:hAnsi="宋体"/>
                <w:color w:val="333333"/>
                <w:sz w:val="17"/>
              </w:rPr>
              <w:t>【问题诊断】 具备初步的算理意识，但缺乏数学推理的完整性与严密性，多进行特例说明。</w:t>
            </w:r>
            <w:r>
              <w:rPr>
                <w:rFonts w:ascii="宋体" w:hAnsi="宋体"/>
                <w:color w:val="333333"/>
                <w:sz w:val="17"/>
              </w:rPr>
              <w:br w:type="textWrapping"/>
            </w:r>
            <w:r>
              <w:rPr>
                <w:rFonts w:ascii="宋体" w:hAnsi="宋体"/>
                <w:color w:val="333333"/>
                <w:sz w:val="17"/>
              </w:rPr>
              <w:br w:type="textWrapping"/>
            </w:r>
            <w:r>
              <w:rPr>
                <w:rFonts w:ascii="宋体" w:hAnsi="宋体"/>
                <w:color w:val="333333"/>
                <w:sz w:val="17"/>
              </w:rPr>
              <w:t>【干预方法】 引导学生建立代数不等式模型，探讨为什么 108k=360 无正整数解，完成从“经验说明”到“代数证明”的过渡。</w:t>
            </w:r>
          </w:p>
        </w:tc>
      </w:tr>
      <w:tr w14:paraId="3A665EB0">
        <w:trPr>
          <w:jc w:val="center"/>
        </w:trPr>
        <w:tc>
          <w:tcPr>
            <w:tcW w:w="1584"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0AE032B2">
            <w:pPr>
              <w:jc w:val="center"/>
            </w:pPr>
            <w:r>
              <w:rPr>
                <w:rFonts w:ascii="微软雅黑" w:hAnsi="微软雅黑"/>
                <w:b/>
                <w:color w:val="333333"/>
                <w:sz w:val="17"/>
              </w:rPr>
              <w:t>第三层：</w:t>
            </w:r>
            <w:r>
              <w:rPr>
                <w:rFonts w:ascii="微软雅黑" w:hAnsi="微软雅黑"/>
                <w:b/>
                <w:color w:val="333333"/>
                <w:sz w:val="17"/>
              </w:rPr>
              <w:br w:type="textWrapping"/>
            </w:r>
            <w:r>
              <w:rPr>
                <w:rFonts w:ascii="微软雅黑" w:hAnsi="微软雅黑"/>
                <w:b/>
                <w:color w:val="333333"/>
                <w:sz w:val="17"/>
              </w:rPr>
              <w:t>定量重构层</w:t>
            </w:r>
            <w:r>
              <w:rPr>
                <w:rFonts w:ascii="微软雅黑" w:hAnsi="微软雅黑"/>
                <w:b/>
                <w:color w:val="333333"/>
                <w:sz w:val="17"/>
              </w:rPr>
              <w:br w:type="textWrapping"/>
            </w:r>
            <w:r>
              <w:rPr>
                <w:rFonts w:ascii="微软雅黑" w:hAnsi="微软雅黑"/>
                <w:b/>
                <w:color w:val="333333"/>
                <w:sz w:val="17"/>
              </w:rPr>
              <w:t>(21~30分)</w:t>
            </w:r>
          </w:p>
        </w:tc>
        <w:tc>
          <w:tcPr>
            <w:tcW w:w="2592"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0CF9E192">
            <w:pPr>
              <w:jc w:val="left"/>
            </w:pPr>
            <w:r>
              <w:rPr>
                <w:rFonts w:ascii="宋体" w:hAnsi="宋体"/>
                <w:color w:val="333333"/>
                <w:sz w:val="17"/>
              </w:rPr>
              <w:t>• 准确计算出内角并建立代数方程 108° × k = 360° 证明其无正整数解，逻辑闭环；</w:t>
            </w:r>
            <w:r>
              <w:rPr>
                <w:rFonts w:ascii="宋体" w:hAnsi="宋体"/>
                <w:color w:val="333333"/>
                <w:sz w:val="17"/>
              </w:rPr>
              <w:br w:type="textWrapping"/>
            </w:r>
            <w:r>
              <w:rPr>
                <w:rFonts w:ascii="宋体" w:hAnsi="宋体"/>
                <w:color w:val="333333"/>
                <w:sz w:val="17"/>
              </w:rPr>
              <w:t>• 能够从数学边界出发对AI算法提出具体的、科学的重构或修改建议。</w:t>
            </w:r>
          </w:p>
        </w:tc>
        <w:tc>
          <w:tcPr>
            <w:tcW w:w="3024"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115E6626">
            <w:pPr>
              <w:jc w:val="left"/>
            </w:pPr>
            <w:r>
              <w:rPr>
                <w:rFonts w:ascii="宋体" w:hAnsi="宋体"/>
                <w:color w:val="333333"/>
                <w:sz w:val="17"/>
              </w:rPr>
              <w:t>“AI的生成图为‘伪镶嵌’。定量证明如下：正五边形内角为 (5-2)×180°/5 = 108°。要在平面密铺，拼接点处必须满足 108° × k = 360°（k为拼接点处的正五边形个数）。解得 k = 360/108 = 10/3 ∉ Z⁺。因为 k 无法取到正整数，故正五边形绝无单独密铺的可能。放大图2可见每个拼接点均留有 36° 的几何缝隙。修改建议：建议AI模型重构底层规则，若必须使用五边形，需将‘正五边形’修改为符合 A+B+C=360° 等特定角度约束的‘不规则凸五边形’；或者直接将单位图形替换为正六边形（120° × 3 = 360°）重绘。”</w:t>
            </w:r>
          </w:p>
        </w:tc>
        <w:tc>
          <w:tcPr>
            <w:tcW w:w="2160" w:type="dxa"/>
            <w:tcBorders>
              <w:top w:val="single" w:color="D3D3D3" w:sz="4" w:space="0"/>
              <w:left w:val="single" w:color="D3D3D3" w:sz="4" w:space="0"/>
              <w:bottom w:val="single" w:color="D3D3D3" w:sz="4" w:space="0"/>
              <w:right w:val="single" w:color="D3D3D3" w:sz="4" w:space="0"/>
            </w:tcBorders>
            <w:shd w:val="clear" w:color="auto" w:fill="FFFFFF"/>
            <w:tcMar>
              <w:top w:w="80" w:type="dxa"/>
              <w:left w:w="80" w:type="dxa"/>
              <w:bottom w:w="80" w:type="dxa"/>
              <w:right w:w="80" w:type="dxa"/>
            </w:tcMar>
          </w:tcPr>
          <w:p w14:paraId="12126D3F">
            <w:pPr>
              <w:jc w:val="left"/>
            </w:pPr>
            <w:r>
              <w:rPr>
                <w:rFonts w:ascii="宋体" w:hAnsi="宋体"/>
                <w:color w:val="333333"/>
                <w:sz w:val="17"/>
              </w:rPr>
              <w:t>【问题诊断】 逻辑推理严密，且具备极佳的人机协同与批判性审辩素养，能用数学规则反哺技术改进。</w:t>
            </w:r>
            <w:r>
              <w:rPr>
                <w:rFonts w:ascii="宋体" w:hAnsi="宋体"/>
                <w:color w:val="333333"/>
                <w:sz w:val="17"/>
              </w:rPr>
              <w:br w:type="textWrapping"/>
            </w:r>
            <w:r>
              <w:rPr>
                <w:rFonts w:ascii="宋体" w:hAnsi="宋体"/>
                <w:color w:val="333333"/>
                <w:sz w:val="17"/>
              </w:rPr>
              <w:br w:type="textWrapping"/>
            </w:r>
            <w:r>
              <w:rPr>
                <w:rFonts w:ascii="宋体" w:hAnsi="宋体"/>
                <w:color w:val="333333"/>
                <w:sz w:val="17"/>
              </w:rPr>
              <w:t>【干预方法】 推荐其进入第三阶段“综合作品创作”的提高组，鼓励其利用几何变换自主设计更复杂的非正多边形镶嵌方案。</w:t>
            </w:r>
          </w:p>
        </w:tc>
      </w:tr>
    </w:tbl>
    <w:p w14:paraId="610AFCEE">
      <w:pPr>
        <w:spacing w:before="120" w:after="240"/>
        <w:jc w:val="center"/>
      </w:pPr>
      <w:r>
        <w:rPr>
          <w:rFonts w:ascii="宋体" w:hAnsi="宋体"/>
          <w:i/>
          <w:sz w:val="18"/>
        </w:rPr>
        <w:t>表3 《鉴定报告》学生表现分层评价量规（Rubric）及典型作答样例</w:t>
      </w:r>
    </w:p>
    <w:p w14:paraId="4225FF53">
      <w:r>
        <w:t>真实的班级达成度统计将在常态化课后据实补入表内，以客观评估本教学干预对学生批判性思维与推理素养的实际促进效度。</w:t>
      </w:r>
    </w:p>
    <w:p w14:paraId="13D3830B">
      <w:pPr>
        <w:pStyle w:val="4"/>
      </w:pPr>
      <w:r>
        <w:t>4.4　把话说在前头</w:t>
      </w:r>
    </w:p>
    <w:p w14:paraId="6DCFD189">
      <w:r>
        <w:t>本文没做前后测、也没有对照班，单凭一次主题式探究活动，不好说学生的推理能力就稳稳提高了。平台能给出每个人的过程数据，可这些数字究竟说明什么，还得连着他们交的《鉴定报告》一起看。稳妥的说法是：它给学生造了个反复“拿数学去查AI”的真实机会；至于素养，还得靠平时一节一节地攒。</w:t>
      </w:r>
    </w:p>
    <w:p w14:paraId="41019222">
      <w:pPr>
        <w:pStyle w:val="3"/>
      </w:pPr>
      <w:r>
        <w:t>5　结论与讨论</w:t>
      </w:r>
    </w:p>
    <w:p w14:paraId="738C3657">
      <w:r>
        <w:t>回到本文的主张：AI在数学课上的用处，不必总盯着它算得对不对；它错得真，反而给了数学一个非常合适的用场——让学生拿着数学的尺子去查验一个看似可信的结论。镶嵌只是个方便的入口，因为它的判据干净利落（角和是否360°）。同样的做法还能搬到别处，条件是那件事AI真的常做错、而数学又判得清：比如让它画一张尺规作图的步骤图，学生查每一步是否只用了圆规和直尺；让它按给定数据生成一张统计图，学生核对扇形的圆心角、条形的高度跟数据合不合；让它画一个所谓“黄金分割”的矩形分割，学生量一量比例对不对。这些地方AI都爱想当然，而学生手里恰好有能判它的工具。</w:t>
      </w:r>
      <w:r>
        <w:br w:type="textWrapping"/>
      </w:r>
      <w:r>
        <w:br w:type="textWrapping"/>
      </w:r>
      <w:r>
        <w:t>也有几条得守住。第一，主角始终是数学，别让“审AI”抢了戏——学生练的是几何与推理，“学会不轻信AI”是捎带的收获。第二，判对错的权得攥在数学和学生手里，别请AI来当裁判；已有研究也说，AI在数学里的长处是陪着聊、给点启发，而不是提供标准答案[5]。第三，上课用的AI错例一定要课前挑过，既留着看得出的毛病，又别把学生带偏。第四，这个设计放在学生已有基本经验之后更合适；新授阶段学生尚无判断力，容易被误导。下一步，笔者将在常态教学中继续实施，把平台记录、学生的《鉴定报告》与作品作为证据积累起来。</w:t>
      </w:r>
    </w:p>
    <w:p w14:paraId="75958709">
      <w:pPr>
        <w:pStyle w:val="3"/>
      </w:pPr>
      <w:r>
        <w:t>参考文献</w:t>
      </w:r>
    </w:p>
    <w:p w14:paraId="0E3F001F">
      <w:pPr>
        <w:ind w:left="288"/>
      </w:pPr>
      <w:r>
        <w:rPr>
          <w:rFonts w:ascii="宋体" w:hAnsi="宋体"/>
          <w:color w:val="595959"/>
          <w:sz w:val="18"/>
        </w:rPr>
        <w:t>[1] 中华人民共和国教育部.义务教育数学课程标准(2022年版)[M].北京:北京师范大学出版社,2022.</w:t>
      </w:r>
    </w:p>
    <w:p w14:paraId="6360EA6B">
      <w:pPr>
        <w:ind w:left="288"/>
      </w:pPr>
      <w:r>
        <w:rPr>
          <w:rFonts w:ascii="宋体" w:hAnsi="宋体"/>
          <w:color w:val="595959"/>
          <w:sz w:val="18"/>
        </w:rPr>
        <w:t>[2] 义务教育教科书（五·四学制）数学·七年级上册及其教学参考资料[M].上海:上海教育出版社.（综合与实践·从传统连续纹样到现代镶嵌图案）</w:t>
      </w:r>
    </w:p>
    <w:p w14:paraId="2F58579C">
      <w:pPr>
        <w:ind w:left="288"/>
      </w:pPr>
      <w:r>
        <w:rPr>
          <w:rFonts w:ascii="宋体" w:hAnsi="宋体"/>
          <w:color w:val="595959"/>
          <w:sz w:val="18"/>
        </w:rPr>
        <w:t>[3] 夏雪梅,刘潇.素养视角下中美数学项目驱动性问题设计的比较研究[J].全球教育展望,2022,51(7):45-61.</w:t>
      </w:r>
    </w:p>
    <w:p w14:paraId="6055A326">
      <w:pPr>
        <w:ind w:left="288"/>
      </w:pPr>
      <w:r>
        <w:rPr>
          <w:rFonts w:ascii="宋体" w:hAnsi="宋体"/>
          <w:color w:val="595959"/>
          <w:sz w:val="18"/>
        </w:rPr>
        <w:t>[4] 王帆,王诗琪,史芹芹.破解大学生生成式人工智能过度依赖的原理与策略——适度认知卸载区构建与实现路径[J].电化教育研究,2026,47(8):71-79.</w:t>
      </w:r>
    </w:p>
    <w:p w14:paraId="17634EE2">
      <w:pPr>
        <w:ind w:left="288"/>
      </w:pPr>
      <w:r>
        <w:rPr>
          <w:rFonts w:ascii="宋体" w:hAnsi="宋体"/>
          <w:color w:val="595959"/>
          <w:sz w:val="18"/>
        </w:rPr>
        <w:t>[5] 武法提,夏志文,闫洪全.基于波利亚问题解决理论的数学辅导智能体的设计与开发研究[J].中小学数字化教学,2026(7):40-44.</w:t>
      </w:r>
    </w:p>
    <w:sectPr>
      <w:headerReference r:id="rId5" w:type="default"/>
      <w:footerReference r:id="rId6" w:type="default"/>
      <w:pgSz w:w="11909" w:h="16834"/>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方正雅意黑 GB18030L2"/>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宋体-简">
    <w:panose1 w:val="02010800040101010101"/>
    <w:charset w:val="86"/>
    <w:family w:val="auto"/>
    <w:pitch w:val="default"/>
    <w:sig w:usb0="00000001" w:usb1="080F0000" w:usb2="00000000" w:usb3="00000000" w:csb0="00040000" w:csb1="00000000"/>
  </w:font>
  <w:font w:name="方正雅意黑 GB18030L2">
    <w:panose1 w:val="02000500000000000000"/>
    <w:charset w:val="86"/>
    <w:family w:val="auto"/>
    <w:pitch w:val="default"/>
    <w:sig w:usb0="E00002FF" w:usb1="38CFFCFB" w:usb2="00000016" w:usb3="00000000" w:csb0="6004019F" w:csb1="DFD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86D79D">
    <w:pPr>
      <w:pStyle w:val="24"/>
      <w:jc w:val="center"/>
    </w:pPr>
    <w:r>
      <w:rPr>
        <w:rFonts w:ascii="Times New Roman" w:hAnsi="Times New Roman"/>
        <w:color w:val="999999"/>
        <w:sz w:val="18"/>
      </w:rPr>
      <w:t xml:space="preserve">页码：Page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67A96">
    <w:pPr>
      <w:pStyle w:val="25"/>
      <w:jc w:val="right"/>
    </w:pPr>
    <w:r>
      <w:rPr>
        <w:rFonts w:ascii="宋体" w:hAnsi="宋体"/>
        <w:i/>
        <w:color w:val="999999"/>
        <w:sz w:val="17"/>
      </w:rPr>
      <w:t>上海外国语大学云间中学 数学组学术成果系列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BB078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宋体" w:hAnsi="宋体" w:eastAsiaTheme="minorEastAsia" w:cstheme="minorBidi"/>
      <w:color w:val="333333"/>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1F4E78"/>
      <w:sz w:val="32"/>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2E74B5"/>
      <w:sz w:val="24"/>
      <w:szCs w:val="26"/>
    </w:rPr>
  </w:style>
  <w:style w:type="paragraph" w:styleId="5">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595959"/>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贝贝</cp:lastModifiedBy>
  <dcterms:modified xsi:type="dcterms:W3CDTF">2026-09-01T23:03:47Z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3E600C40C225E32753E9966ABF093AB6_42</vt:lpwstr>
  </property>
</Properties>
</file>