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5CDE" w14:textId="77777777" w:rsidR="000B2D1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МИНИСТЕРСТВО НАУКИ И ВЫСШЕГО ОБРАЗОВАНИЯ РОССИЙСКОЙ ФЕДЕРАЦИИ</w:t>
      </w:r>
    </w:p>
    <w:p w14:paraId="30B85E81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0E5AFF" w14:textId="77777777" w:rsidR="000B2D1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3DC5C433" w14:textId="77777777" w:rsidR="000B2D1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«Санкт-Петербургский политехнический университет</w:t>
      </w:r>
    </w:p>
    <w:p w14:paraId="6704B104" w14:textId="77777777" w:rsidR="000B2D1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Петра Великого»</w:t>
      </w:r>
    </w:p>
    <w:p w14:paraId="3A07D426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628CA5" w14:textId="77777777" w:rsidR="000B2D1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34BA83CA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725E9ACC" w14:textId="77777777" w:rsidR="000B2D1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Направление: 02.03.01 Математика и компьютерные науки</w:t>
      </w:r>
    </w:p>
    <w:p w14:paraId="326569B7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779550A4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3643A880" w14:textId="77777777" w:rsidR="000B2D1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Основы архитектуры ЦВМ</w:t>
      </w:r>
    </w:p>
    <w:p w14:paraId="5CA41954" w14:textId="270111A3" w:rsidR="000B2D1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Отчет о выполнении лабораторной работы №</w:t>
      </w:r>
      <w:r w:rsidR="007240C1">
        <w:rPr>
          <w:rFonts w:ascii="Times New Roman" w:eastAsia="Times New Roman" w:hAnsi="Times New Roman" w:cs="Times New Roman"/>
          <w:sz w:val="29"/>
          <w:szCs w:val="29"/>
        </w:rPr>
        <w:t>5</w:t>
      </w:r>
    </w:p>
    <w:p w14:paraId="1E6C9BC3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47A03F10" w14:textId="77777777" w:rsidR="000B2D1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0"/>
          <w:szCs w:val="50"/>
        </w:rPr>
        <w:t xml:space="preserve"> </w:t>
      </w:r>
      <w:r w:rsidRPr="007240C1">
        <w:rPr>
          <w:rFonts w:ascii="Times New Roman" w:eastAsia="Times New Roman" w:hAnsi="Times New Roman" w:cs="Times New Roman"/>
          <w:sz w:val="40"/>
          <w:szCs w:val="40"/>
        </w:rPr>
        <w:t>Кодирующие и декодирующие преобразователи.</w:t>
      </w:r>
    </w:p>
    <w:p w14:paraId="69A01DA1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9D9B01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505652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0C6348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496C50" w14:textId="77777777" w:rsidR="000B2D1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Студент,</w:t>
      </w:r>
    </w:p>
    <w:p w14:paraId="41CD2AE1" w14:textId="2E728BEA" w:rsidR="000B2D1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5130201/</w:t>
      </w:r>
      <w:r w:rsidR="00984B0D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000</w:t>
      </w:r>
      <w:r w:rsidR="00984B0D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984B0D">
        <w:rPr>
          <w:rFonts w:ascii="Times New Roman" w:eastAsia="Times New Roman" w:hAnsi="Times New Roman" w:cs="Times New Roman"/>
          <w:sz w:val="28"/>
          <w:szCs w:val="28"/>
        </w:rPr>
        <w:t>Денисенко Е.Д.</w:t>
      </w:r>
    </w:p>
    <w:p w14:paraId="76F2D034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2A4C41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BC5312" w14:textId="05A48889" w:rsidR="000B2D1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Вербова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Н. М.</w:t>
      </w:r>
    </w:p>
    <w:p w14:paraId="1CCBC43D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9"/>
          <w:szCs w:val="29"/>
        </w:rPr>
      </w:pPr>
    </w:p>
    <w:p w14:paraId="503424D0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7B75126E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5551021E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1FCB11FE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4C7DEFA0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165EA95D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75803C4E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53967CE9" w14:textId="77777777" w:rsidR="000B2D16" w:rsidRPr="00984B0D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553D3AB9" w14:textId="77777777" w:rsidR="007240C1" w:rsidRPr="00984B0D" w:rsidRDefault="007240C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690086CF" w14:textId="77777777" w:rsidR="007240C1" w:rsidRPr="00984B0D" w:rsidRDefault="007240C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4F42EB28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554448AD" w14:textId="77777777" w:rsidR="000B2D16" w:rsidRDefault="000B2D1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37A50B4F" w14:textId="42F49FE5" w:rsidR="000B2D16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Санкт-Петербург - 202</w:t>
      </w:r>
      <w:r w:rsidR="00984B0D">
        <w:rPr>
          <w:rFonts w:ascii="Times New Roman" w:eastAsia="Times New Roman" w:hAnsi="Times New Roman" w:cs="Times New Roman"/>
          <w:sz w:val="29"/>
          <w:szCs w:val="29"/>
        </w:rPr>
        <w:t>5</w:t>
      </w:r>
      <w:r>
        <w:rPr>
          <w:rFonts w:ascii="Times New Roman" w:eastAsia="Times New Roman" w:hAnsi="Times New Roman" w:cs="Times New Roman"/>
          <w:sz w:val="29"/>
          <w:szCs w:val="29"/>
        </w:rPr>
        <w:t xml:space="preserve"> г.</w:t>
      </w:r>
      <w:r>
        <w:br w:type="page"/>
      </w:r>
    </w:p>
    <w:p w14:paraId="51AFB635" w14:textId="77777777" w:rsidR="000B2D16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</w:p>
    <w:p w14:paraId="5CEDE74B" w14:textId="77777777" w:rsidR="000B2D16" w:rsidRDefault="000000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Изучение принципов действия ЦАП (цифро-аналоговых преобразователей) и АЦП (аналого-цифровых преобразователей).</w:t>
      </w:r>
    </w:p>
    <w:p w14:paraId="2DCF127F" w14:textId="77777777" w:rsidR="000B2D16" w:rsidRDefault="000B2D1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055B57" w14:textId="77777777" w:rsidR="000B2D16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Методика: </w:t>
      </w:r>
    </w:p>
    <w:p w14:paraId="748E0433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Часть 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7441271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первой части лабораторной работы был синтезирован АЦП параллельного преобразования на 2 разряда. </w:t>
      </w:r>
    </w:p>
    <w:p w14:paraId="59841A8B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параллельного или мгновенного преобразования подразумевает одновременное сравнение входного сигнала со всеми пороговыми уровнями с использованием компараторов, которые располагаются на один младший значащий разряд ниже уровня опорного сигнала друг относительно друга. Это смещение достигается благодаря использованию прецизионного резистивного делителя.</w:t>
      </w:r>
    </w:p>
    <w:p w14:paraId="3BFB27C1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Когда аналоговый сигнал подается на вход АЦП, компараторы, расположенные выше уровня входного сигнала, выдают логический ноль на выходе, а компараторы, находящиеся ниже этого уровня, формируют логическую единицу.</w:t>
      </w:r>
    </w:p>
    <w:p w14:paraId="2D30E81D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Сигналы с выходов компараторов проходят через D-триггеры и поступают на комбинационную схему – приоритетный дешифратор. На основе таблицы 1 были разработаны переключательные функции для различных состояний приоритетного дешифратора.</w:t>
      </w:r>
    </w:p>
    <w:p w14:paraId="48456193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114300" distR="114300" wp14:anchorId="29D2ECA0" wp14:editId="1BCC6C87">
            <wp:extent cx="5731510" cy="123634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D115B" w14:textId="77777777" w:rsidR="000B2D1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1. Состояния приоритетного дешифратора.</w:t>
      </w:r>
    </w:p>
    <w:p w14:paraId="784F9870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097EC5D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Поразрядный выход:</w:t>
      </w:r>
    </w:p>
    <w:p w14:paraId="7F536002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Gungsuh" w:eastAsia="Gungsuh" w:hAnsi="Gungsuh" w:cs="Gungsuh"/>
          <w:sz w:val="28"/>
          <w:szCs w:val="28"/>
        </w:rPr>
        <w:t xml:space="preserve"> ⊕ 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Gungsuh" w:eastAsia="Gungsuh" w:hAnsi="Gungsuh" w:cs="Gungsuh"/>
          <w:sz w:val="28"/>
          <w:szCs w:val="28"/>
        </w:rPr>
        <w:t xml:space="preserve"> ⊕ 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</w:p>
    <w:p w14:paraId="3C971DB8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</w:rPr>
        <w:t>= 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Hanuman" w:eastAsia="Hanuman" w:hAnsi="Hanuman" w:cs="Hanuman"/>
          <w:sz w:val="28"/>
          <w:szCs w:val="28"/>
        </w:rPr>
        <w:t xml:space="preserve"> ៱ (x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Gungsuh" w:eastAsia="Gungsuh" w:hAnsi="Gungsuh" w:cs="Gungsuh"/>
          <w:sz w:val="28"/>
          <w:szCs w:val="28"/>
        </w:rPr>
        <w:t xml:space="preserve"> ⊕ 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Hanuman" w:eastAsia="Hanuman" w:hAnsi="Hanuman" w:cs="Hanuman"/>
          <w:sz w:val="28"/>
          <w:szCs w:val="28"/>
        </w:rPr>
        <w:t>) ៴ (x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Hanuman" w:eastAsia="Hanuman" w:hAnsi="Hanuman" w:cs="Hanuman"/>
          <w:sz w:val="28"/>
          <w:szCs w:val="28"/>
        </w:rPr>
        <w:t xml:space="preserve"> ៱ 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C5BF264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Сама схема представлена на (Рис. 1).</w:t>
      </w:r>
    </w:p>
    <w:p w14:paraId="3E6E91F0" w14:textId="25923659" w:rsidR="000B2D16" w:rsidRDefault="007240C1">
      <w:pPr>
        <w:rPr>
          <w:rFonts w:ascii="Times New Roman" w:eastAsia="Times New Roman" w:hAnsi="Times New Roman" w:cs="Times New Roman"/>
          <w:sz w:val="28"/>
          <w:szCs w:val="28"/>
        </w:rPr>
      </w:pPr>
      <w:r w:rsidRPr="007240C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A39886" wp14:editId="753BC21B">
            <wp:extent cx="5731510" cy="2825750"/>
            <wp:effectExtent l="0" t="0" r="2540" b="0"/>
            <wp:docPr id="153424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44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7317" w14:textId="77777777" w:rsidR="000B2D1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1. Схема АЦП параллельного преобразования</w:t>
      </w:r>
    </w:p>
    <w:p w14:paraId="0E08F71A" w14:textId="77777777" w:rsidR="000B2D16" w:rsidRDefault="000B2D1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FC4756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Часть II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1496C22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первой части лабораторной работы был реализован АЦП с последовательным приближением на 2 разряда. </w:t>
      </w:r>
    </w:p>
    <w:p w14:paraId="08C62F8B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последовательного приближения заключается в том, чтобы аппроксимировать входной сигнал двоичным кодом и затем проверять корректность этой аппроксимации для каждого разряда до тех пор, пока не будет достигнуто наиболее точное значение. На каждом этапе наиболее точно аппроксимированное значение сохраняется в регистре последовательного приближения. </w:t>
      </w:r>
    </w:p>
    <w:p w14:paraId="361A9D25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Компонент сравнения сопоставляет выходной сигнал ЦАП с входным напряжением и дает команду контроллеру сбросить значение СЗР (системы заданного регистра), если первоначальная оценка превышает уровень входного сигнала; в противном случае оставляется текущее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установленное значение. На следующем такте контроллер устанавливает значение следующего разряда в единицу, и в зависимости от уровня входного сигнала компонент сравнения снова либо сбрасывает, либо оставляет установленным этот разряд.</w:t>
      </w:r>
    </w:p>
    <w:p w14:paraId="360B7061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случае n-разрядного ЦАП значение напряжения е в такой схеме определяется как</w:t>
      </w:r>
    </w:p>
    <w:p w14:paraId="6FE30E34" w14:textId="77777777" w:rsidR="000B2D1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114300" distR="114300" wp14:anchorId="5639D384" wp14:editId="03744AD2">
            <wp:extent cx="2266950" cy="66103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661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4E057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 АЦП последовательного приближения с ЦАП в которой используется так называемая R-2R резисторная матрица лестничного типа представлена на (Рис. 2)</w:t>
      </w:r>
    </w:p>
    <w:p w14:paraId="743F68C2" w14:textId="565049CD" w:rsidR="000B2D16" w:rsidRDefault="007240C1">
      <w:pPr>
        <w:rPr>
          <w:rFonts w:ascii="Times New Roman" w:eastAsia="Times New Roman" w:hAnsi="Times New Roman" w:cs="Times New Roman"/>
          <w:sz w:val="28"/>
          <w:szCs w:val="28"/>
        </w:rPr>
      </w:pPr>
      <w:r w:rsidRPr="007240C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12C2120" wp14:editId="74FFB8CA">
            <wp:extent cx="5082980" cy="4244708"/>
            <wp:effectExtent l="0" t="0" r="3810" b="3810"/>
            <wp:docPr id="667136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36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BDC2" w14:textId="77777777" w:rsidR="000B2D1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 Схема АЦП последовательного приближения</w:t>
      </w:r>
    </w:p>
    <w:p w14:paraId="615688E0" w14:textId="77777777" w:rsidR="000B2D16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4FCDEB91" w14:textId="77777777" w:rsidR="000B2D1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Вывод: </w:t>
      </w: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изучены принципы работы цифро-аналогового преобразования и аналого-цифровое преобразования. Также были синтезированы схемы АЦП параллельного преобразования и АЦП последовательного приближения.</w:t>
      </w:r>
    </w:p>
    <w:sectPr w:rsidR="000B2D1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E11DE71-1365-4B00-8ABB-E2CB9D139BB9}"/>
    <w:embedBold r:id="rId2" w:fontKey="{79F053D5-FE4E-4247-B4D8-2F22F24EE51D}"/>
    <w:embedItalic r:id="rId3" w:fontKey="{2189DDA5-0279-4575-834E-ADB515B0B56E}"/>
    <w:embedBoldItalic r:id="rId4" w:fontKey="{E594157A-E0A2-4EB9-A6DD-CD6EAD71F2E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F796782F-98E4-4DD9-A82E-6E370CFB4534}"/>
  </w:font>
  <w:font w:name="Hanuman">
    <w:charset w:val="00"/>
    <w:family w:val="auto"/>
    <w:pitch w:val="default"/>
    <w:embedRegular r:id="rId6" w:fontKey="{56651C5E-D231-4983-B689-FE089FC599D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5292C3DD-3AB9-4A43-B7BC-FC48187EBB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D16"/>
    <w:rsid w:val="000B2D16"/>
    <w:rsid w:val="002A06FC"/>
    <w:rsid w:val="007240C1"/>
    <w:rsid w:val="00984B0D"/>
    <w:rsid w:val="00E5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B7B6A"/>
  <w15:docId w15:val="{CDB6770C-05DE-4383-9226-833AABBB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b/>
      <w:color w:val="2F5496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4472C4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4472C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4472C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color w:val="1F3863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1F386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472C4"/>
      </w:pBdr>
      <w:spacing w:after="300" w:line="240" w:lineRule="auto"/>
    </w:pPr>
    <w:rPr>
      <w:color w:val="333F4F"/>
      <w:sz w:val="52"/>
      <w:szCs w:val="52"/>
    </w:rPr>
  </w:style>
  <w:style w:type="paragraph" w:styleId="a4">
    <w:name w:val="Subtitle"/>
    <w:basedOn w:val="a"/>
    <w:next w:val="a"/>
    <w:uiPriority w:val="11"/>
    <w:qFormat/>
    <w:rPr>
      <w:i/>
      <w:color w:val="4472C4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Августина Цыркунова</cp:lastModifiedBy>
  <cp:revision>2</cp:revision>
  <dcterms:created xsi:type="dcterms:W3CDTF">2025-10-02T07:22:00Z</dcterms:created>
  <dcterms:modified xsi:type="dcterms:W3CDTF">2025-10-02T07:22:00Z</dcterms:modified>
</cp:coreProperties>
</file>