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20" w:line="432" w:lineRule="atLeast"/>
        <w:jc w:val="center"/>
        <w:rPr>
          <w:rFonts w:ascii="Traditional Arabic" w:hAnsi="Traditional Arabic" w:cs="Traditional Arabic" w:eastAsia="Traditional Arabic"/>
          <w:sz w:val="32"/>
          <w:szCs w:val="32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الجمهورية الجزائرية الديمقراطية الشعبية</w:t>
      </w:r>
    </w:p>
    <w:p>
      <w:pPr>
        <w:bidi/>
        <w:spacing w:before="0" w:after="2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وزارة التربية الوطنية</w:t>
      </w:r>
    </w:p>
    <w:p>
      <w:pPr>
        <w:bidi/>
        <w:spacing w:before="0" w:after="2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الديوان الوطني للامتحانات والمسابقات</w:t>
      </w:r>
    </w:p>
    <w:p>
      <w:pPr>
        <w:pBdr>
          <w:top w:val="single" w:sz="8" w:space="4" w:color="000000"/>
        </w:pBdr>
        <w:bidi/>
        <w:spacing w:before="60" w:after="2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امتحان بكالوريا التعليم الثانوي دورة 2025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الشعبة: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405" w:lineRule="atLeast"/>
              <w:jc w:val="left"/>
              <w:rPr>
                <w:rFonts w:ascii="Traditional Arabic" w:hAnsi="Traditional Arabic" w:cs="Traditional Arabic" w:eastAsia="Traditional Arabic"/>
                <w:sz w:val="30"/>
                <w:szCs w:val="30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المدة: 02 سا و30 د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الآتيين:</w:t>
      </w:r>
    </w:p>
    <w:p>
      <w:pPr>
        <w:keepNext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الأول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﴿اللَّهُ لَا إِلَٰهَ إِلَّا هُوَ الْحَيُّ الْقَيُّومُ ۚ لَا تَأْخُذُهُ سِنَةٌ وَلَا نَوْمٌ ۚ لَّهُ مَا فِي السَّمَاوَاتِ وَمَا فِي الْأَرْضِ ۗ مَن ذَا الَّذِي يَشْفَعُ عِندَهُ إِلَّا بِإِذْنِهِ ۚ يَعْلَمُ مَا بَيْنَ أَيْدِيهِمْ وَمَا خَلْفَهُمْ ۖ وَلَا يُحِيطُونَ بِشَيْءٍ مِّنْ عِلْمِهِ إِلَّا بِمَا شَاءَ ۚ وَسِعَ كُرْسِيُّهُ السَّمَاوَاتِ وَالْأَرْضَ ۖ وَلَا يَئُودُهُ حِفْظُهُمَا ۚ وَهُوَ الْعَلِيُّ الْعَظِيمُ﴾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[سورة البقرة]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ورد في الآية ما يشير إلى إعمال العقل، بيّن أهمّية العقل في القرآن الكريم.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في قوله تعالى: ﴿يَعْلَمُ مَا بَيْنَ أَيْدِيهِمْ وَمَا خَلْفَهُمْ﴾ إشارة إلى وسيلة لتثبيت العقيدة الإسلاميّة. - استخرجها ثمّ اشرحها، وبيّن سبب الانحراف عن العقيدة الذي تعالجه.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حِفظ العقل من المقاصد الضّروريّة.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هات مثالا توضّح فيه أهمّية ترتيب أقسام المقاصد مع التّعليل.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هات مثالا آخر توضّح فيه أهمّية ترتيب أنواع المقاصد الضّروريّة مع التّعليل.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من الضّروريّات حِفظ المال، وقد شرّع الإسلام للحفاظ عليه عدّة معاملات مالية منها بيع الصّرف.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عرّف بيع الصّرف اصطلاحا.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بيّن كيف يمكن أن يتحوّل بيع الصّرف إلى معاملة ربويّة مع التّمثيل.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فائدتين من النّص الشّرعيّ.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تنازع أخوان على تقسيم تركة والدهما، فأدّى التّنازع إلى وقوع جريمة قتل، فحكم القاضي بإعدام القاتل، وكان للمقتول بالإضافة إلى أخيه القاتل: بنت، وزوجة.</w:t>
      </w:r>
    </w:p>
    <w:p>
      <w:pPr>
        <w:keepNext/>
        <w:bidi/>
        <w:spacing w:before="40" w:after="4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المطلوب: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حدّد مَن يرث ومَن لا يرث من تركة المقتول مع التّعليل.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قارن بين هذه العقوبة والحدّ من حيث: جهة الحق، العفو، المقصد الشّرعيّ، العقوبة البديلة.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استنتج من حكم القاضي أثرين من آثار تطبيق المساواة في العقوبات.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الأول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Traditional Arabic" w:hAnsi="Traditional Arabic" w:cs="Traditional Arabic" w:eastAsia="Traditional Arabic"/>
          <w:sz w:val="30"/>
          <w:szCs w:val="30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30"/>
          <w:szCs w:val="30"/>
          <w:rtl/>
          <w:lang w:bidi="ar-DZ"/>
        </w:rPr>
        <w:t xml:space="preserve">الموضوع الثاني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الأول: (12 نقطة)</w:t>
      </w:r>
    </w:p>
    <w:p>
      <w:pPr>
        <w:bidi/>
        <w:spacing w:before="0" w:after="6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عن النّعمان بن بشير رضي الله عنهما أنّ النبي ﷺ قال: «مَثَلُ القَائِمِ عَلَى حُدُودِ اللهِ وَالوَاقِعِ فِيهَا، كَمَثَلِ قَوْمٍ اسْتَهَمُوا عَلَى سَفِينَةٍ فَأَصَابَ بَعْضُهُمْ أَعْلَاهَا وَبَعْضُهُمْ أَسْفَلَهَا، فَكَانَ الَّذِينَ فِي أَسْفَلِهَا إِذَا اسْتَقَوْا مِنَ المَاءِ مَرُّوا عَلَى مَنْ فَوْقَهُمْ، فَقَالُوا: لَوْ أَنَّا خَرَقْنَا فِي نَصِيبِنَا خَرْقًا وَلَمْ نُؤْذِ مَنْ فَوْقَنَا، فَإِنْ يَتْرُكُوهُمْ وَمَا أَرَادُوا هَلَكُوا جَمِيعًا، وَإِنْ أَخَذُوا عَلَى أَيْدِيهِمْ نَجَوْا، وَنَجَوْا جَمِيعًا».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[أخرجه البخاري]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عرّف بالصّحابي راوي الحديث.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يتكلّم الحديثُ عن موضوع الحرّيّةِ الشّخصيّةِ، فبعضهم عدّها مطلقة وبعضهم عدّها مقيّدة.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انطلاقا ممّا درست بيّن هل الحرّيّة مطلقة أو مقيّدة؟ علّل إجابتك.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استنبط من الحديث أثرا من آثار العقيدة الإسلاميّة على المجتمع، ثمّ اشرحه.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ج- استخرج من الحديث مقصدا من المقاصد الضّروريّة، وبيّن مرتبته.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من أسباب هلاك الأمم السّابقة تحريفها لكتبها السّماويّة.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بيّن المستويات الّتي مسّها التّحريف في الرّسالات السّماويّة السّابقة.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من خلال ما درست اذكر علاقة الرّسالة الخاتمة بالرّسالات السّماويّة السّابقة.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4)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في الحديث إشارة إلى أمر شرعي عظيم لا تنالُ الأمّةُ خيريّتَها إلّا بالتزامه. - استنبطه، ثمّ اذكر شروط القيام به.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5)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استخرج من الحديث حكما وفائدة.</w:t>
      </w:r>
    </w:p>
    <w:p>
      <w:pPr>
        <w:keepNext/>
        <w:bidi/>
        <w:spacing w:before="100" w:after="60" w:line="378" w:lineRule="atLeast"/>
        <w:jc w:val="left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الجزء الثاني: (08 نقاط)</w:t>
      </w:r>
    </w:p>
    <w:p>
      <w:pPr>
        <w:bidi/>
        <w:spacing w:before="0" w:after="40" w:line="432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قال الله تعالى: </w:t>
      </w:r>
      <w:r>
        <w:rPr>
          <w:rFonts w:ascii="Traditional Arabic" w:hAnsi="Traditional Arabic" w:cs="Traditional Arabic" w:eastAsia="Traditional Arabic"/>
          <w:b/>
          <w:bCs/>
          <w:sz w:val="32"/>
          <w:szCs w:val="32"/>
          <w:rtl/>
          <w:lang w:bidi="ar-DZ"/>
        </w:rPr>
        <w:t xml:space="preserve">﴿وَمَا آتَيْتُم مِّن رِّبًا لِّيَرْبُوَ فِي أَمْوَالِ النَّاسِ فَلَا يَرْبُو عِندَ اللَّهِ ...﴾</w:t>
      </w:r>
      <w:r>
        <w:rPr>
          <w:rFonts w:ascii="Traditional Arabic" w:hAnsi="Traditional Arabic" w:cs="Traditional Arabic" w:eastAsia="Traditional Arabic"/>
          <w:b/>
          <w:bCs/>
          <w:sz w:val="22"/>
          <w:szCs w:val="22"/>
          <w:rtl/>
          <w:lang w:bidi="ar-DZ"/>
        </w:rPr>
        <w:t xml:space="preserve">  [سورة الروم]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1)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باستعمال القواعد العامّة لاستبعاد المعاملات الرّبوية، بيّن شروط صحّة المعاملات التّالية: - مبادلة الذّهب بالفضّة. - مبادلة التّمر بالتّمر. - مبادلة الدّينار الجزائري بالرّيال السعودي.</w:t>
      </w:r>
    </w:p>
    <w:p>
      <w:pPr>
        <w:bidi/>
        <w:spacing w:before="0" w:after="4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2)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اعتمد العلماء في تحديد الأصناف الرّبوية انطلاقا من حديث عُبادة بن الصّامت على مصدر تشريعي. - سمّ هذا المصدر، واذكر فَرْقَيْن بينه وبين الإجماع.</w:t>
      </w:r>
    </w:p>
    <w:p>
      <w:pPr>
        <w:bidi/>
        <w:spacing w:before="0" w:after="20" w:line="378" w:lineRule="atLeast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8"/>
          <w:szCs w:val="28"/>
          <w:rtl/>
          <w:lang w:bidi="ar-DZ"/>
        </w:rPr>
        <w:t xml:space="preserve">3) </w:t>
      </w: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أوصى رجل لابنه بنصف أمواله ولابن أخته بربعها، وترك الباقي للورثة، وهم: - الابن الموصى له، وبنت، وزوجة نصرانيّة.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أ- بيّن حكم هذه الوصيّة علّل إجابتك.</w:t>
      </w:r>
    </w:p>
    <w:p>
      <w:pPr>
        <w:bidi/>
        <w:spacing w:before="0" w:after="40" w:line="378" w:lineRule="atLeast"/>
        <w:ind w:left="567" w:right="0"/>
        <w:jc w:val="both"/>
        <w:rPr>
          <w:rFonts w:ascii="Traditional Arabic" w:hAnsi="Traditional Arabic" w:cs="Traditional Arabic" w:eastAsia="Traditional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28"/>
          <w:szCs w:val="28"/>
          <w:rtl/>
          <w:lang w:bidi="ar-DZ"/>
        </w:rPr>
        <w:t xml:space="preserve">ب- حدّد مَن يرث ومَن لا يرث في المثال المذكور مع التّعليل.</w:t>
      </w:r>
    </w:p>
    <w:p>
      <w:pPr>
        <w:bidi/>
        <w:spacing w:before="240" w:after="0" w:line="324" w:lineRule="atLeast"/>
        <w:jc w:val="left"/>
        <w:rPr>
          <w:rFonts w:ascii="Traditional Arabic" w:hAnsi="Traditional Arabic" w:cs="Traditional Arabic" w:eastAsia="Traditional Arabic"/>
          <w:sz w:val="24"/>
          <w:szCs w:val="24"/>
          <w:rtl/>
        </w:rPr>
      </w:pPr>
      <w:r>
        <w:rPr>
          <w:rFonts w:ascii="Traditional Arabic" w:hAnsi="Traditional Arabic" w:cs="Traditional Arabic" w:eastAsia="Traditional Arabic"/>
          <w:b/>
          <w:bCs/>
          <w:sz w:val="24"/>
          <w:szCs w:val="24"/>
          <w:rtl/>
          <w:lang w:bidi="ar-DZ"/>
        </w:rPr>
        <w:t xml:space="preserve">انتهى الموضوع الثاني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jawal">
    <w:charset w:val="00"/>
    <w:family w:val="auto"/>
    <w:pitch w:val="variable"/>
    <w:embedRegular r:id="rIdTajRegular" w:fontKey="{C4C88DC3-3A4D-4F89-96B6-1F5C1CCF564E}"/>
    <w:embedBold r:id="rIdTajBold" w:fontKey="{96C41147-AF7C-4846-BDA5-096CF2E9062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1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0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مَجْمَعُ البكالوريا"/>
      <w:tag w:val="majmaa-watermark"/>
      <w:id w:val="740002"/>
      <w:lock w:val="sdtContentLocked"/>
      <w15:appearance w15:val="hidden"/>
    </w:sdtPr>
    <w:sdtContent>
      <w:p>
        <w:pPr>
          <w:framePr w:wrap="around" w:vAnchor="text" w:hAnchor="margin" w:xAlign="right" w:y="1"/>
          <w:bidi/>
          <w:spacing w:before="100" w:after="0"/>
        </w:pPr>
        <w:r>
          <w:rPr>
            <w:rFonts w:ascii="Tajawal" w:hAnsi="Tajawal" w:cs="Tajawal" w:eastAsia="Tajawal"/>
            <w:b/>
            <w:bCs/>
            <w:color w:val="808080"/>
            <w:sz w:val="20"/>
            <w:szCs w:val="20"/>
            <w:rtl/>
          </w:rPr>
          <w:t>مَجْمَعُ البكالوريا</w:t>
        </w:r>
      </w:p>
      <w:p>
        <w:pPr>
          <w:framePr w:wrap="around" w:vAnchor="text" w:hAnchor="margin" w:xAlign="left" w:y="1"/>
          <w:spacing w:before="150" w:after="0"/>
        </w:pPr>
        <w:hyperlink r:id="rIdMajmaaWM" w:history="1">
          <w:r>
            <w:rPr>
              <w:rFonts w:ascii="Tajawal" w:hAnsi="Tajawal" w:cs="Tajawal" w:eastAsia="Tajawal"/>
              <w:color w:val="808080"/>
              <w:sz w:val="16"/>
              <w:szCs w:val="16"/>
            </w:rPr>
            <w:t>bacalauria.github.io/majmaa</w:t>
          </w:r>
        </w:hyperlink>
      </w:p>
    </w:sdtContent>
  </w:sdt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 / الشعبة: جميع الشعب /  بكالوريا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اختبار في مادة: العلوم الإسلامية / الشعبة: جميع الشعب /  بكالوريا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Traditional Arabic" w:hAnsi="Traditional Arabic" w:cs="Traditional Arabic" w:eastAsia="Traditional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
<Relationships xmlns="http://schemas.openxmlformats.org/package/2006/relationships"><Relationship Id="rIdTajRegular" Type="http://schemas.openxmlformats.org/officeDocument/2006/relationships/font" Target="fonts/majmaa_tajawal_regular.odttf"/><Relationship Id="rIdTajBold" Type="http://schemas.openxmlformats.org/officeDocument/2006/relationships/font" Target="fonts/majmaa_tajawal_bold.odttf"/></Relationships>
</file>

<file path=word/_rels/footer1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2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_rels/footer3.xml.rels><?xml version="1.0" encoding="UTF-8" standalone="yes"?>
<Relationships xmlns="http://schemas.openxmlformats.org/package/2006/relationships"><Relationship Id="rIdMajmaaWM" Type="http://schemas.openxmlformats.org/officeDocument/2006/relationships/hyperlink" Target="https://bacalauria.github.io/majma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