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bidiVisual/>
        <w:tblW w:w="1020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0" w:type="dxa"/>
          <w:right w:w="80" w:type="dxa"/>
        </w:tblCellMar>
        <w:tblLook w:val="04A0" w:firstRow="1" w:lastRow="0" w:firstColumn="1" w:lastColumn="0" w:noHBand="0" w:noVBand="1"/>
      </w:tblPr>
      <w:tblGrid>
        <w:gridCol w:w="8406"/>
        <w:gridCol w:w="900"/>
        <w:gridCol w:w="900"/>
      </w:tblGrid>
      <w:tr>
        <w:trPr>
          <w:tblHeader/>
          <w:jc w:val="center"/>
        </w:trPr>
        <w:tc>
          <w:tcPr>
            <w:tcW w:w="8406" w:type="dxa"/>
            <w:vMerge w:val="restart"/>
            <w:vAlign w:val="center"/>
          </w:tcPr>
          <w:p>
            <w:pPr>
              <w:bidi/>
              <w:spacing w:before="0" w:after="0" w:line="351"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6"/>
                <w:szCs w:val="26"/>
                <w:rtl/>
                <w:lang w:bidi="ar-DZ"/>
              </w:rPr>
              <w:t xml:space="preserve">عناصر الإجابة (الموضوع الأول)</w:t>
            </w:r>
          </w:p>
        </w:tc>
        <w:tc>
          <w:tcPr>
            <w:tcW w:w="1800" w:type="dxa"/>
            <w:gridSpan w:val="2"/>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العلامة</w:t>
            </w:r>
          </w:p>
        </w:tc>
      </w:tr>
      <w:tr>
        <w:trPr>
          <w:tblHeader/>
          <w:jc w:val="center"/>
        </w:trPr>
        <w:tc>
          <w:tcPr>
            <w:tcW w:w="8406" w:type="dxa"/>
            <w:vMerge/>
            <w:vAlign w:val="top"/>
          </w:tcPr>
          <w:p>
            <w:pPr>
              <w:bidi/>
              <w:spacing w:before="0" w:after="0" w:line="324" w:lineRule="atLeast"/>
              <w:jc w:val="both"/>
              <w:rPr>
                <w:rFonts w:ascii="Simplified Arabic" w:hAnsi="Simplified Arabic" w:cs="Simplified Arabic" w:eastAsia="Simplified Arabic"/>
                <w:sz w:val="24"/>
                <w:szCs w:val="24"/>
                <w:rtl/>
              </w:rPr>
            </w:pPr>
          </w:p>
        </w:tc>
        <w:tc>
          <w:tcPr>
            <w:tcW w:w="900" w:type="dxa"/>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مجزأة</w:t>
            </w:r>
          </w:p>
        </w:tc>
        <w:tc>
          <w:tcPr>
            <w:tcW w:w="900" w:type="dxa"/>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مجموع</w:t>
            </w:r>
          </w:p>
        </w:tc>
      </w:tr>
      <w:tr>
        <w:trPr>
          <w:jc w:val="center"/>
        </w:trPr>
        <w:tc>
          <w:tcPr>
            <w:tcW w:w="10206" w:type="dxa"/>
            <w:gridSpan w:val="3"/>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الجزء الأول: [14 نقطة]</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1. </w:t>
            </w:r>
            <w:r>
              <w:rPr>
                <w:rFonts w:ascii="Simplified Arabic" w:hAnsi="Simplified Arabic" w:cs="Simplified Arabic" w:eastAsia="Simplified Arabic"/>
                <w:sz w:val="24"/>
                <w:szCs w:val="24"/>
                <w:rtl/>
                <w:lang w:bidi="ar-DZ"/>
              </w:rPr>
              <w:t xml:space="preserve">أ. استخراج الوسيلة: إثارة العقل.</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ب. شرح الوسيلة: إثارة العقل: دفع الإنسان إلى استعمال العقل في التدبر والتفكر في الكون وما بث الله فيه من آيات، للاهتداء إلى أن الله هو الخالق الأوحد للكون والمدبر لكل شؤونه، فيؤمن به ويعبده.</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[إثارة الوجدان: تحريك مشاعر الإنسان من خلال تذكيره بنعم الله وأفضاله عليه، وأنه سبحانه هو المتحكم في حياته ورزقه ومصيره، حتى يستيقظ داخله، فيؤمن بالمنعم ويعبده.</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التذكير بقدرة الله تعالى ومراقبته: التذكير الدائم بقدرة الله التي لا تحد وعظمته، وبيان مظاهر ودلائل ذلك في خلقه، والتذكير بأن الله تعالى رقيب على كل صغيرة وكبيرة في حياة العبد، فهو سبحانه معه يراه ويراقبه ولا يغيب عنه مثقال ذرة في السماوات ولا في الأرض ثم يحاسبه يوم القيامة على ما عمل من خير أو شر. كل هذا يدفع القلب إلى الخشوع والاستسلام لله وحده.]</w:t>
            </w:r>
          </w:p>
          <w:p>
            <w:pPr>
              <w:bidi/>
              <w:spacing w:before="0" w:after="10" w:line="297"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2"/>
                <w:szCs w:val="22"/>
                <w:u w:val="single"/>
                <w:rtl/>
                <w:lang w:bidi="ar-DZ"/>
              </w:rPr>
              <w:t xml:space="preserve">ملاحظة: </w:t>
            </w:r>
            <w:r>
              <w:rPr>
                <w:rFonts w:ascii="Simplified Arabic" w:hAnsi="Simplified Arabic" w:cs="Simplified Arabic" w:eastAsia="Simplified Arabic"/>
                <w:sz w:val="22"/>
                <w:szCs w:val="22"/>
                <w:rtl/>
                <w:lang w:bidi="ar-DZ"/>
              </w:rPr>
              <w:t xml:space="preserve">[وتقبل: إثارة الوجدان / التذكير بقدرة الله تعالى ومراقبته]</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0.5 (الاستخراج)</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1.5 (الشرح)</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02</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2. </w:t>
            </w:r>
            <w:r>
              <w:rPr>
                <w:rFonts w:ascii="Simplified Arabic" w:hAnsi="Simplified Arabic" w:cs="Simplified Arabic" w:eastAsia="Simplified Arabic"/>
                <w:sz w:val="24"/>
                <w:szCs w:val="24"/>
                <w:rtl/>
                <w:lang w:bidi="ar-DZ"/>
              </w:rPr>
              <w:t xml:space="preserve">أ. من جانب الوجود: بتشريع كل ما من شأنه تحصيل المنافع للعقل ليؤدي وظيفته على أكمل وجه.</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الدعوة إلى طلب العلم النافع، بحيث كان ذلك أول خطاب للنبي صلى الله عليه وسلم وأمته.</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الدعوة إلى التدبر والتفكر، وتنمية مهارات التفكير.</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تحصينه بالإيمان، فالعقل لا يهتدي إلا بالوحي.</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ب. من جانب العدم: تحريم كل ما يُتلف العقل ويغيبه ويعطل طاقته كالخمر والمخدرات.</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النهي عن التقليد الأعمى واتباع الهوى والخرافة والتعصب والغلو.</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التحذير من الانحراف الفكري.</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محاربة الجهل بكل صوره.</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وضع حدودا لاستعمال العقل تتوافق مع مجال إدراكه.</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8×0.5</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04</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3. أ- </w:t>
            </w:r>
            <w:r>
              <w:rPr>
                <w:rFonts w:ascii="Simplified Arabic" w:hAnsi="Simplified Arabic" w:cs="Simplified Arabic" w:eastAsia="Simplified Arabic"/>
                <w:sz w:val="24"/>
                <w:szCs w:val="24"/>
                <w:rtl/>
                <w:lang w:bidi="ar-DZ"/>
              </w:rPr>
              <w:t xml:space="preserve">مفهوم القيم في القرآن الكريم: هي مجموعة من المبادئ والأخلاق الفردية والأسرية والاجتماعية والسياسية التي حثّنا القرآن الكريم على التمسك بها ليكون الانسجام والأمن في صفوف أفراد المجتمع.</w:t>
            </w:r>
          </w:p>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ب- </w:t>
            </w:r>
            <w:r>
              <w:rPr>
                <w:rFonts w:ascii="Simplified Arabic" w:hAnsi="Simplified Arabic" w:cs="Simplified Arabic" w:eastAsia="Simplified Arabic"/>
                <w:sz w:val="24"/>
                <w:szCs w:val="24"/>
                <w:rtl/>
                <w:lang w:bidi="ar-DZ"/>
              </w:rPr>
              <w:t xml:space="preserve">بيان معنى قيمة التكافل الاجتماعي: هو تظافر جهود أفراد المجتمع في تحقيق مصالح عامة ودفع مفاسد وأضرار مادية ومعنوية.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والتكافل يتدرّج ليشمل الإنسانية جمعاء، حيث يبدأ الإنسان المسلم بدائرته الذاتية ثمّ دائرته الأسرية ثمّ محيطه الاجتماعي.</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01</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01</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02</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4. </w:t>
            </w:r>
            <w:r>
              <w:rPr>
                <w:rFonts w:ascii="Simplified Arabic" w:hAnsi="Simplified Arabic" w:cs="Simplified Arabic" w:eastAsia="Simplified Arabic"/>
                <w:sz w:val="24"/>
                <w:szCs w:val="24"/>
                <w:rtl/>
                <w:lang w:bidi="ar-DZ"/>
              </w:rPr>
              <w:t xml:space="preserve">حق الحياة.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الحق في الحرية.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الحق في الأمن.</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الحق في التنقل.</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الحق في حرية المعتقد.</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الحق في حرية الرأي والفكر.</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حق التعلم.</w:t>
            </w:r>
          </w:p>
          <w:p>
            <w:pPr>
              <w:bidi/>
              <w:spacing w:before="0" w:after="10" w:line="297"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2"/>
                <w:szCs w:val="22"/>
                <w:u w:val="single"/>
                <w:rtl/>
                <w:lang w:bidi="ar-DZ"/>
              </w:rPr>
              <w:t xml:space="preserve">ملاحظة: </w:t>
            </w:r>
            <w:r>
              <w:rPr>
                <w:rFonts w:ascii="Simplified Arabic" w:hAnsi="Simplified Arabic" w:cs="Simplified Arabic" w:eastAsia="Simplified Arabic"/>
                <w:sz w:val="22"/>
                <w:szCs w:val="22"/>
                <w:rtl/>
                <w:lang w:bidi="ar-DZ"/>
              </w:rPr>
              <w:t xml:space="preserve">[تقبل أربعة حقوق من هذه الحقوق]</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4×0.5</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02</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5. </w:t>
            </w:r>
            <w:r>
              <w:rPr>
                <w:rFonts w:ascii="Simplified Arabic" w:hAnsi="Simplified Arabic" w:cs="Simplified Arabic" w:eastAsia="Simplified Arabic"/>
                <w:sz w:val="24"/>
                <w:szCs w:val="24"/>
                <w:rtl/>
                <w:lang w:bidi="ar-DZ"/>
              </w:rPr>
              <w:t xml:space="preserve">دعوة القرآن الكريم إلى استخدام العقل للتدبر في الكون.</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حث القرآن على التأمل في دلائل قدرة الله في كونه.</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من دلائل قدرة الله الدقة والإتقان في الكون.</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بيان أهمية العقل في الهداية إلى الإيمان.</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التذكير بنعم الله تعالى على عباده.</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بيان عظم قدرة الله تعالى في خلقه.</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تعدد مظاهر عظمة الله تعالى في الكون.</w:t>
            </w:r>
          </w:p>
          <w:p>
            <w:pPr>
              <w:bidi/>
              <w:spacing w:before="0" w:after="10" w:line="297"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2"/>
                <w:szCs w:val="22"/>
                <w:u w:val="single"/>
                <w:rtl/>
                <w:lang w:bidi="ar-DZ"/>
              </w:rPr>
              <w:t xml:space="preserve">ملاحظة: </w:t>
            </w:r>
            <w:r>
              <w:rPr>
                <w:rFonts w:ascii="Simplified Arabic" w:hAnsi="Simplified Arabic" w:cs="Simplified Arabic" w:eastAsia="Simplified Arabic"/>
                <w:sz w:val="22"/>
                <w:szCs w:val="22"/>
                <w:rtl/>
                <w:lang w:bidi="ar-DZ"/>
              </w:rPr>
              <w:t xml:space="preserve">[تقبل أربع فوائد من هذه الفوائد]</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4×1</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04</w:t>
            </w:r>
          </w:p>
        </w:tc>
      </w:tr>
      <w:tr>
        <w:trPr>
          <w:jc w:val="center"/>
        </w:trPr>
        <w:tc>
          <w:tcPr>
            <w:tcW w:w="10206" w:type="dxa"/>
            <w:gridSpan w:val="3"/>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الجزء الثاني: [06 نقاط]</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1. </w:t>
            </w:r>
            <w:r>
              <w:rPr>
                <w:rFonts w:ascii="Simplified Arabic" w:hAnsi="Simplified Arabic" w:cs="Simplified Arabic" w:eastAsia="Simplified Arabic"/>
                <w:sz w:val="24"/>
                <w:szCs w:val="24"/>
                <w:rtl/>
                <w:lang w:bidi="ar-DZ"/>
              </w:rPr>
              <w:t xml:space="preserve">هي استنباط الحكم في واقعة لا نصّ فيها ولا إجماع، بناء على مصلحة لا دليل من الشّارع على اعتبارها ولا على إلغائها.</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01</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01</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2. </w:t>
            </w:r>
            <w:r>
              <w:rPr>
                <w:rFonts w:ascii="Simplified Arabic" w:hAnsi="Simplified Arabic" w:cs="Simplified Arabic" w:eastAsia="Simplified Arabic"/>
                <w:sz w:val="24"/>
                <w:szCs w:val="24"/>
                <w:rtl/>
                <w:lang w:bidi="ar-DZ"/>
              </w:rPr>
              <w:t xml:space="preserve">أولا: شرّع الله الأحكام لتحقيق مصالح العباد، ودفْع المضارّ عنهم.</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ثانيا: الحوادث تتجدّد، والمصالح تتغيّر بتجدّد الزّمان والظّروف.</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ثالثا: روعيت المصلحة بنحو أوسع من القياس في اجتهادات الصّحابة والتّابعين وأئمة الاجتهاد.</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3×0.5</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01.5</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3. </w:t>
            </w:r>
            <w:r>
              <w:rPr>
                <w:rFonts w:ascii="Simplified Arabic" w:hAnsi="Simplified Arabic" w:cs="Simplified Arabic" w:eastAsia="Simplified Arabic"/>
                <w:sz w:val="24"/>
                <w:szCs w:val="24"/>
                <w:rtl/>
                <w:lang w:bidi="ar-DZ"/>
              </w:rPr>
              <w:t xml:space="preserve">أ. أن تكون ملائمة لمقاصد الشّرع الضّرورية لقيام مصالح العباد.</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ب. أن تكون مصلحة لعامة النّاس.</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ج. أن تكون معقولة في ذاتها، حقيقة لا وهما.</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3×0.5</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01.5</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4. </w:t>
            </w:r>
            <w:r>
              <w:rPr>
                <w:rFonts w:ascii="Simplified Arabic" w:hAnsi="Simplified Arabic" w:cs="Simplified Arabic" w:eastAsia="Simplified Arabic"/>
                <w:sz w:val="24"/>
                <w:szCs w:val="24"/>
                <w:rtl/>
                <w:lang w:bidi="ar-DZ"/>
              </w:rPr>
              <w:t xml:space="preserve">اتفاق الصّحابة في عهد سيدنا أبي بكر الصّديق رضي الله عنه على جمع القرآن على التّرتيب التّوقيفي، والّذي نجده في المصاحف.</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اتفاقهم على استنساخ عدة نسخ من القرآن الكريم في عهد عثمان بن عفان رضي الله عنه.</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إبقاء الأراضي الزّراعية الّتي فتحوها في عهد عمر رضي الله عنه بأيدي أهلها ووضع الخَراج عليها.</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وضع قواعد خاصة للمرور في الطّرقات العامة.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الإلزام بتوثيق عقد الزّواج بورقة رسمية، وعدم الاكتفاء بالعقد الشرعي فقط.</w:t>
            </w:r>
          </w:p>
          <w:p>
            <w:pPr>
              <w:bidi/>
              <w:spacing w:before="0" w:after="10" w:line="297"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2"/>
                <w:szCs w:val="22"/>
                <w:u w:val="single"/>
                <w:rtl/>
                <w:lang w:bidi="ar-DZ"/>
              </w:rPr>
              <w:t xml:space="preserve">ملاحظة: </w:t>
            </w:r>
            <w:r>
              <w:rPr>
                <w:rFonts w:ascii="Simplified Arabic" w:hAnsi="Simplified Arabic" w:cs="Simplified Arabic" w:eastAsia="Simplified Arabic"/>
                <w:sz w:val="22"/>
                <w:szCs w:val="22"/>
                <w:rtl/>
                <w:lang w:bidi="ar-DZ"/>
              </w:rPr>
              <w:t xml:space="preserve">[يقبل مثالين من هذه الأمثلة]</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2×1</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02</w:t>
            </w:r>
          </w:p>
        </w:tc>
      </w:tr>
    </w:tbl>
    <w:p>
      <w:pPr>
        <w:bidi/>
        <w:spacing w:before="0" w:after="0" w:line="108" w:lineRule="atLeast"/>
        <w:jc w:val="both"/>
        <w:rPr>
          <w:rFonts w:ascii="Simplified Arabic" w:hAnsi="Simplified Arabic" w:cs="Simplified Arabic" w:eastAsia="Simplified Arabic"/>
          <w:sz w:val="8"/>
          <w:szCs w:val="8"/>
          <w:rtl/>
        </w:rPr>
      </w:pPr>
    </w:p>
    <w:tbl>
      <w:tblPr>
        <w:bidiVisual/>
        <w:tblW w:w="1020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0" w:type="dxa"/>
          <w:right w:w="80" w:type="dxa"/>
        </w:tblCellMar>
        <w:tblLook w:val="04A0" w:firstRow="1" w:lastRow="0" w:firstColumn="1" w:lastColumn="0" w:noHBand="0" w:noVBand="1"/>
      </w:tblPr>
      <w:tblGrid>
        <w:gridCol w:w="8406"/>
        <w:gridCol w:w="900"/>
        <w:gridCol w:w="900"/>
      </w:tblGrid>
      <w:tr>
        <w:trPr>
          <w:tblHeader/>
          <w:jc w:val="center"/>
        </w:trPr>
        <w:tc>
          <w:tcPr>
            <w:tcW w:w="8406" w:type="dxa"/>
            <w:vMerge w:val="restart"/>
            <w:vAlign w:val="center"/>
          </w:tcPr>
          <w:p>
            <w:pPr>
              <w:bidi/>
              <w:spacing w:before="0" w:after="0" w:line="351"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6"/>
                <w:szCs w:val="26"/>
                <w:rtl/>
                <w:lang w:bidi="ar-DZ"/>
              </w:rPr>
              <w:t xml:space="preserve">عناصر الإجابة (الموضوع الثاني)</w:t>
            </w:r>
          </w:p>
        </w:tc>
        <w:tc>
          <w:tcPr>
            <w:tcW w:w="1800" w:type="dxa"/>
            <w:gridSpan w:val="2"/>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العلامة</w:t>
            </w:r>
          </w:p>
        </w:tc>
      </w:tr>
      <w:tr>
        <w:trPr>
          <w:tblHeader/>
          <w:jc w:val="center"/>
        </w:trPr>
        <w:tc>
          <w:tcPr>
            <w:tcW w:w="8406" w:type="dxa"/>
            <w:vMerge/>
            <w:vAlign w:val="top"/>
          </w:tcPr>
          <w:p>
            <w:pPr>
              <w:bidi/>
              <w:spacing w:before="0" w:after="0" w:line="324" w:lineRule="atLeast"/>
              <w:jc w:val="both"/>
              <w:rPr>
                <w:rFonts w:ascii="Simplified Arabic" w:hAnsi="Simplified Arabic" w:cs="Simplified Arabic" w:eastAsia="Simplified Arabic"/>
                <w:sz w:val="24"/>
                <w:szCs w:val="24"/>
                <w:rtl/>
              </w:rPr>
            </w:pPr>
          </w:p>
        </w:tc>
        <w:tc>
          <w:tcPr>
            <w:tcW w:w="900" w:type="dxa"/>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مجزأة</w:t>
            </w:r>
          </w:p>
        </w:tc>
        <w:tc>
          <w:tcPr>
            <w:tcW w:w="900" w:type="dxa"/>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مجموع</w:t>
            </w:r>
          </w:p>
        </w:tc>
      </w:tr>
      <w:tr>
        <w:trPr>
          <w:jc w:val="center"/>
        </w:trPr>
        <w:tc>
          <w:tcPr>
            <w:tcW w:w="10206" w:type="dxa"/>
            <w:gridSpan w:val="3"/>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الجزء الأول: [14 نقطة]</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1. </w:t>
            </w:r>
            <w:r>
              <w:rPr>
                <w:rFonts w:ascii="Simplified Arabic" w:hAnsi="Simplified Arabic" w:cs="Simplified Arabic" w:eastAsia="Simplified Arabic"/>
                <w:sz w:val="24"/>
                <w:szCs w:val="24"/>
                <w:rtl/>
                <w:lang w:bidi="ar-DZ"/>
              </w:rPr>
              <w:t xml:space="preserve">القيمة: العدل.</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نوعها: القيم السياسية.</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0.5</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0.5</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01</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2. أ- </w:t>
            </w:r>
            <w:r>
              <w:rPr>
                <w:rFonts w:ascii="Simplified Arabic" w:hAnsi="Simplified Arabic" w:cs="Simplified Arabic" w:eastAsia="Simplified Arabic"/>
                <w:sz w:val="24"/>
                <w:szCs w:val="24"/>
                <w:rtl/>
                <w:lang w:bidi="ar-DZ"/>
              </w:rPr>
              <w:t xml:space="preserve">الشفاعة في الحدود محرّمة، بنص الحديث.</w:t>
            </w:r>
          </w:p>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ب- </w:t>
            </w:r>
            <w:r>
              <w:rPr>
                <w:rFonts w:ascii="Simplified Arabic" w:hAnsi="Simplified Arabic" w:cs="Simplified Arabic" w:eastAsia="Simplified Arabic"/>
                <w:sz w:val="24"/>
                <w:szCs w:val="24"/>
                <w:rtl/>
                <w:lang w:bidi="ar-DZ"/>
              </w:rPr>
              <w:t xml:space="preserve">تشجيع أصحاب النفوذ على التخلص من العقاب.</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انتشار الجريمة والفساد في المجتمع.</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إهدار سلطة العدالة والقانون.</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تعزيز الطبقية في المجتمع.</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هلاك الأمم وزوالها.</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انعدام الأمن والاستقرار.</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انتشار الظلم، وضياع الحقوق وغياب العدل.</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تعطيل تنفيذ الحدود الشرعية.</w:t>
            </w:r>
          </w:p>
          <w:p>
            <w:pPr>
              <w:bidi/>
              <w:spacing w:before="0" w:after="10" w:line="297"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2"/>
                <w:szCs w:val="22"/>
                <w:u w:val="single"/>
                <w:rtl/>
                <w:lang w:bidi="ar-DZ"/>
              </w:rPr>
              <w:t xml:space="preserve">ملاحظة: </w:t>
            </w:r>
            <w:r>
              <w:rPr>
                <w:rFonts w:ascii="Simplified Arabic" w:hAnsi="Simplified Arabic" w:cs="Simplified Arabic" w:eastAsia="Simplified Arabic"/>
                <w:sz w:val="22"/>
                <w:szCs w:val="22"/>
                <w:rtl/>
                <w:lang w:bidi="ar-DZ"/>
              </w:rPr>
              <w:t xml:space="preserve">[يقبل ثلاثة من هذه الآثار]</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0.5</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3×0.5</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02</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3. أ- </w:t>
            </w:r>
            <w:r>
              <w:rPr>
                <w:rFonts w:ascii="Simplified Arabic" w:hAnsi="Simplified Arabic" w:cs="Simplified Arabic" w:eastAsia="Simplified Arabic"/>
                <w:sz w:val="24"/>
                <w:szCs w:val="24"/>
                <w:rtl/>
                <w:lang w:bidi="ar-DZ"/>
              </w:rPr>
              <w:t xml:space="preserve">معنى الانحراف: هو كلّ سلوك يترتب عليه انتهاكٌ للقيّم والمعايير الّتي تحكم سير المجتمع.</w:t>
            </w:r>
          </w:p>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ب- </w:t>
            </w:r>
            <w:r>
              <w:rPr>
                <w:rFonts w:ascii="Simplified Arabic" w:hAnsi="Simplified Arabic" w:cs="Simplified Arabic" w:eastAsia="Simplified Arabic"/>
                <w:sz w:val="24"/>
                <w:szCs w:val="24"/>
                <w:rtl/>
                <w:lang w:bidi="ar-DZ"/>
              </w:rPr>
              <w:t xml:space="preserve">ثمرة العبادة هي استقامة السلوك وترك صغائر الذنوب وكبائرها، والارتقاء إلى مقام التقوى. فالعابد لله تعالى هو أبعد الناس عن المعاصي والانحراف.</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العبادة تزيد الإنسان محبة لخالقه وتجعله يسعى لرضاه، وبالتالي تزود العابد بطاقة فعالة للإصلاح.</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كل العبادات في الإسلام لم تشرع لذاتها، وإنما شرعت بهدف تزكية وتقويم سلوك الإنسان، فهي عاصمة من الانحراف.</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العبادة بمفهومها الشامل حصانة للإنسان من الجريمة، لأنها تُحوِّل كل عمل إلى عبادة مادام الداعي إلى فعله أو تركه هو الاستجابة لأوامر الله، مما يجعل الإنسان بعيدا عن كل ما فيه ضرر لنفسه أو لغيره.</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كل خلق إسلامي هو عبادة في ذاته، والأخلاق عاصمة من الاقتراب من الانحراف والجريمة كالحياء والعفة والأمانة والتسامح والعدل ومراعاة الحقوق وغيرها.</w:t>
            </w:r>
          </w:p>
          <w:p>
            <w:pPr>
              <w:bidi/>
              <w:spacing w:before="0" w:after="10" w:line="297"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2"/>
                <w:szCs w:val="22"/>
                <w:u w:val="single"/>
                <w:rtl/>
                <w:lang w:bidi="ar-DZ"/>
              </w:rPr>
              <w:t xml:space="preserve">ملاحظة: </w:t>
            </w:r>
            <w:r>
              <w:rPr>
                <w:rFonts w:ascii="Simplified Arabic" w:hAnsi="Simplified Arabic" w:cs="Simplified Arabic" w:eastAsia="Simplified Arabic"/>
                <w:sz w:val="22"/>
                <w:szCs w:val="22"/>
                <w:rtl/>
                <w:lang w:bidi="ar-DZ"/>
              </w:rPr>
              <w:t xml:space="preserve">[تقبل أربعة منها]</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01</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4×0.5</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03</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4. </w:t>
            </w:r>
            <w:r>
              <w:rPr>
                <w:rFonts w:ascii="Simplified Arabic" w:hAnsi="Simplified Arabic" w:cs="Simplified Arabic" w:eastAsia="Simplified Arabic"/>
                <w:sz w:val="24"/>
                <w:szCs w:val="24"/>
                <w:rtl/>
                <w:lang w:bidi="ar-DZ"/>
              </w:rPr>
              <w:t xml:space="preserve">أ. تعريف التبني اصطلاحا: اتخاذ الرجل ولدا له، مع أنه ولد الغير. / أن يتخذ الإنسان ولد غيره ابنا له / هو إدعاء أبوة ولد مجهول أو معلوم النسب بغير حق.</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ب. ذكر دليل تحريم التبني: قول الله تعالى: ﴿وما جعل أدعياءكم أبناءكم ذلكم قولكم بأفواهكم والله يقول الحق وهو يهدي السبيل﴾ [الأحزاب: 4].</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قول النبي صلى الله عليه وسلم: (من ادعى إلى غير أبيه وهو يعلم فالجنة عليه حرام) [رواه البخاري].</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قول النبي صلى الله عليه وسلم: (من ادعى إلى غير أبيه، أو انتمى إلى غير مواليه، فعليه لعنة الله المتتابعة إلى يوم القيامة) [رواه البخاري].</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ج. الحكمة من إبطال التبني: الحفاظ على قدسية الرابطة الأسرية من خلال النسب الحقيقي.</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الحفاظ على الأعراض داخل الأسرة.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إقرار الحق والعدل، والبعد عن التزوير وتغطية الحقائق.</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ضمان حقوق أفراد الأسرة في الميراث.</w:t>
            </w:r>
          </w:p>
          <w:p>
            <w:pPr>
              <w:bidi/>
              <w:spacing w:before="0" w:after="10" w:line="297"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2"/>
                <w:szCs w:val="22"/>
                <w:u w:val="single"/>
                <w:rtl/>
                <w:lang w:bidi="ar-DZ"/>
              </w:rPr>
              <w:t xml:space="preserve">ملاحظة: </w:t>
            </w:r>
            <w:r>
              <w:rPr>
                <w:rFonts w:ascii="Simplified Arabic" w:hAnsi="Simplified Arabic" w:cs="Simplified Arabic" w:eastAsia="Simplified Arabic"/>
                <w:sz w:val="22"/>
                <w:szCs w:val="22"/>
                <w:rtl/>
                <w:lang w:bidi="ar-DZ"/>
              </w:rPr>
              <w:t xml:space="preserve">[يقبل دليل من الكتاب وآخر من السنة للحصول على العلامة الكاملة]</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1 (التعريف)</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0.5 (القرآن)</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0.5 (السنة)</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4×0.5 (الحكمة)</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04</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5. </w:t>
            </w:r>
            <w:r>
              <w:rPr>
                <w:rFonts w:ascii="Simplified Arabic" w:hAnsi="Simplified Arabic" w:cs="Simplified Arabic" w:eastAsia="Simplified Arabic"/>
                <w:sz w:val="24"/>
                <w:szCs w:val="24"/>
                <w:rtl/>
                <w:lang w:bidi="ar-DZ"/>
              </w:rPr>
              <w:t xml:space="preserve">1. تحريم السرقة وبيان عقوبتها.</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2. القضاء على الفوارق الطّبقية والتّمييز العنصري والمحاباة في الحدود.</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3. تحريم الشّفاعة في الحدود.</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4. وجوب إقامة حدود الله وحرمة تعطيلها.</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5. تعطيل حدود الله يؤدي إلى شيوع الجريمة والفساد في الأرض.</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6. الاعتبار بأحوال الأمم السابقة.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7. في الحديث ذكر منقبة لأسامة بن زيد بأنه محبوب عند الرسول صلى الله عليه وسلم.</w:t>
            </w:r>
          </w:p>
          <w:p>
            <w:pPr>
              <w:bidi/>
              <w:spacing w:before="0" w:after="10" w:line="297"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2"/>
                <w:szCs w:val="22"/>
                <w:u w:val="single"/>
                <w:rtl/>
                <w:lang w:bidi="ar-DZ"/>
              </w:rPr>
              <w:t xml:space="preserve">ملاحظة: </w:t>
            </w:r>
            <w:r>
              <w:rPr>
                <w:rFonts w:ascii="Simplified Arabic" w:hAnsi="Simplified Arabic" w:cs="Simplified Arabic" w:eastAsia="Simplified Arabic"/>
                <w:sz w:val="22"/>
                <w:szCs w:val="22"/>
                <w:rtl/>
                <w:lang w:bidi="ar-DZ"/>
              </w:rPr>
              <w:t xml:space="preserve">[تقبل أربعة فوائد من هذه الفوائد]</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4×1</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04</w:t>
            </w:r>
          </w:p>
        </w:tc>
      </w:tr>
      <w:tr>
        <w:trPr>
          <w:jc w:val="center"/>
        </w:trPr>
        <w:tc>
          <w:tcPr>
            <w:tcW w:w="10206" w:type="dxa"/>
            <w:gridSpan w:val="3"/>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الجزء الثاني: [06 نقاط]</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1. </w:t>
            </w:r>
            <w:r>
              <w:rPr>
                <w:rFonts w:ascii="Simplified Arabic" w:hAnsi="Simplified Arabic" w:cs="Simplified Arabic" w:eastAsia="Simplified Arabic"/>
                <w:sz w:val="24"/>
                <w:szCs w:val="24"/>
                <w:rtl/>
                <w:lang w:bidi="ar-DZ"/>
              </w:rPr>
              <w:t xml:space="preserve">أ. نوع الصحة الذي أشارت إليه الآية هو: الصحة النفسية.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ب. بيان مفهوم الصحة النفسية: حالة طمأنينة واتزان وتوافق مع الذات، بحيث يكون الإنسان قادرا على تحقيق ذاته واستغلال قدراته والتكيف مع واقعه.</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0.5</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1</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01.5</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2. </w:t>
            </w:r>
            <w:r>
              <w:rPr>
                <w:rFonts w:ascii="Simplified Arabic" w:hAnsi="Simplified Arabic" w:cs="Simplified Arabic" w:eastAsia="Simplified Arabic"/>
                <w:sz w:val="24"/>
                <w:szCs w:val="24"/>
                <w:rtl/>
                <w:lang w:bidi="ar-DZ"/>
              </w:rPr>
              <w:t xml:space="preserve">الفهم الصحيح للوجود والمصير.</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تقوية الصلة بالله تعالى.</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الصبر عند الشدائد.</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التزكية والأخلاق.</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الثبات والتوازن الانفعالي.</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المرونة في مواجهة الواقع.</w:t>
            </w:r>
          </w:p>
          <w:p>
            <w:pPr>
              <w:bidi/>
              <w:spacing w:before="0" w:after="10" w:line="297"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2"/>
                <w:szCs w:val="22"/>
                <w:u w:val="single"/>
                <w:rtl/>
                <w:lang w:bidi="ar-DZ"/>
              </w:rPr>
              <w:t xml:space="preserve">ملاحظة: </w:t>
            </w:r>
            <w:r>
              <w:rPr>
                <w:rFonts w:ascii="Simplified Arabic" w:hAnsi="Simplified Arabic" w:cs="Simplified Arabic" w:eastAsia="Simplified Arabic"/>
                <w:sz w:val="22"/>
                <w:szCs w:val="22"/>
                <w:rtl/>
                <w:lang w:bidi="ar-DZ"/>
              </w:rPr>
              <w:t xml:space="preserve">[تقبل ثلاثة منها]</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3×0.5</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01.5</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3. </w:t>
            </w:r>
            <w:r>
              <w:rPr>
                <w:rFonts w:ascii="Simplified Arabic" w:hAnsi="Simplified Arabic" w:cs="Simplified Arabic" w:eastAsia="Simplified Arabic"/>
                <w:sz w:val="24"/>
                <w:szCs w:val="24"/>
                <w:rtl/>
                <w:lang w:bidi="ar-DZ"/>
              </w:rPr>
              <w:t xml:space="preserve">3.1 الوقاية من الأمراض: كرّم الإسلام جسم الإنسان، فجعل طهارته التّامة أساسا لابد منه لكلّ صلاة، وكلّف المسلم أن يغسل جسمه كلّه غسلا جيدا في أحيان كثيرة، وربط هذا الغسل بالعبادات، فلا تصح العبادة بدونه.. ولن يتخذ الإلزام بالتّطهّر طريقة أقرب وأقوم من هذه الّتي شرعها الإسلام، ومن باب الوقاية من الأمراض حرّم الإسلام شرب الخمر، لما له من مضار على الصحّة.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3.2 الإعفاء من بعض الفرائض: اهتمّ الإسلام بعدم تعريض صحة الجسم إلى ما يضعفها، فقد أسقط في ظروف خاصة الفروض أو خفّضها، كإباحة الإفطار للمسافر في الصّيام، ونهى القرآن الكريم عن إتعاب الجسم وإنهاكه ...</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1.5</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1.5</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03</w:t>
            </w:r>
          </w:p>
        </w:tc>
      </w:tr>
    </w:tbl>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Tajawal">
    <w:charset w:val="00"/>
    <w:family w:val="auto"/>
    <w:pitch w:val="variable"/>
    <w:embedRegular r:id="rIdTajRegular" w:fontKey="{D145877C-6016-4CA3-B666-F69B1C163AA4}"/>
    <w:embedBold r:id="rIdTajBold" w:fontKey="{4E51EC70-2FEB-4690-8A87-DF34B59B808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1"/>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0"/>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2"/>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324" w:lineRule="atLeas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الإجابة النموذجية وسلم التنقيط لموضوع امتحان: البكالوريا  الشعبة: جميع الشعب   دورة: جوان 2014</w:t>
    </w:r>
  </w:p>
  <w:p>
    <w:pPr>
      <w:pBdr>
        <w:bottom w:val="single" w:sz="8" w:space="4" w:color="000000"/>
      </w:pBdr>
      <w:bidi/>
      <w:spacing w:before="0" w:after="60" w:line="324" w:lineRule="atLeas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اختبار مادة: العلوم الإسلامية   المدة: 2 سا و30 د</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324" w:lineRule="atLeas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الإجابة النموذجية وسلم التنقيط لموضوع امتحان: البكالوريا  الشعبة: جميع الشعب   دورة: جوان 2014</w:t>
    </w:r>
  </w:p>
  <w:p>
    <w:pPr>
      <w:pBdr>
        <w:bottom w:val="single" w:sz="8" w:space="4" w:color="000000"/>
      </w:pBdr>
      <w:bidi/>
      <w:spacing w:before="0" w:after="60" w:line="324" w:lineRule="atLeas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اختبار مادة: العلوم الإسلامية   المدة: 2 سا و30 د</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324" w:lineRule="atLeas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الإجابة النموذجية وسلم التنقيط لموضوع امتحان: البكالوريا  الشعبة: جميع الشعب   دورة: جوان 2014</w:t>
    </w:r>
  </w:p>
  <w:p>
    <w:pPr>
      <w:pBdr>
        <w:bottom w:val="single" w:sz="8" w:space="4" w:color="000000"/>
      </w:pBdr>
      <w:bidi/>
      <w:spacing w:before="0" w:after="60" w:line="324" w:lineRule="atLeas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اختبار مادة: العلوم الإسلامية   المدة: 2 سا و30 د</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TajRegular" Type="http://schemas.openxmlformats.org/officeDocument/2006/relationships/font" Target="fonts/majmaa_tajawal_regular.odttf"/><Relationship Id="rIdTajBold" Type="http://schemas.openxmlformats.org/officeDocument/2006/relationships/font" Target="fonts/majmaa_tajawal_bold.odttf"/></Relationships>
</file>

<file path=word/_rels/footer1.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_rels/footer2.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_rels/footer3.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