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jc w:val="center"/>
        <w:rPr>
          <w:rFonts w:ascii="Traditional Arabic" w:hAnsi="Traditional Arabic" w:cs="Traditional Arabic" w:eastAsia="Traditional Arabic"/>
          <w:sz w:val="32"/>
          <w:szCs w:val="32"/>
          <w:rtl/>
        </w:rPr>
      </w:pPr>
      <w:r>
        <w:drawing>
          <wp:inline xmlns:a="http://schemas.openxmlformats.org/drawingml/2006/main" xmlns:pic="http://schemas.openxmlformats.org/drawingml/2006/picture">
            <wp:extent cx="34234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42340" cy="288000"/>
                    </a:xfrm>
                    <a:prstGeom prst="rect"/>
                  </pic:spPr>
                </pic:pic>
              </a:graphicData>
            </a:graphic>
          </wp:inline>
        </w:drawing>
      </w:r>
    </w:p>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2024</w:t>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 فنون</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يحتوي الموضوع على صفحتين (02) (من الصفحة 1 من 5 إلى الصفحة 2 من 5)</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نظرا للسّلطات الّتي خوّلها </w:t>
      </w:r>
      <w:r>
        <w:rPr>
          <w:rFonts w:ascii="Traditional Arabic" w:hAnsi="Traditional Arabic" w:cs="Traditional Arabic" w:eastAsia="Traditional Arabic"/>
          <w:b/>
          <w:bCs/>
          <w:sz w:val="32"/>
          <w:szCs w:val="32"/>
          <w:u w:val="single"/>
          <w:rtl/>
          <w:lang w:bidi="ar-DZ"/>
        </w:rPr>
        <w:t xml:space="preserve">المجلس الوطني للثّورة الجزائريّة</w:t>
      </w:r>
      <w:r>
        <w:rPr>
          <w:rFonts w:ascii="Traditional Arabic" w:hAnsi="Traditional Arabic" w:cs="Traditional Arabic" w:eastAsia="Traditional Arabic"/>
          <w:sz w:val="32"/>
          <w:szCs w:val="32"/>
          <w:rtl/>
          <w:lang w:bidi="ar-DZ"/>
        </w:rPr>
        <w:t xml:space="preserve"> إلى لجنة التّنسيق والتّنفيذ، فإنّ </w:t>
      </w:r>
      <w:r>
        <w:rPr>
          <w:rFonts w:ascii="Traditional Arabic" w:hAnsi="Traditional Arabic" w:cs="Traditional Arabic" w:eastAsia="Traditional Arabic"/>
          <w:b/>
          <w:bCs/>
          <w:sz w:val="32"/>
          <w:szCs w:val="32"/>
          <w:u w:val="single"/>
          <w:rtl/>
          <w:lang w:bidi="ar-DZ"/>
        </w:rPr>
        <w:t xml:space="preserve">لجنة التّنسيق والتّنفيذ</w:t>
      </w:r>
      <w:r>
        <w:rPr>
          <w:rFonts w:ascii="Traditional Arabic" w:hAnsi="Traditional Arabic" w:cs="Traditional Arabic" w:eastAsia="Traditional Arabic"/>
          <w:sz w:val="32"/>
          <w:szCs w:val="32"/>
          <w:rtl/>
          <w:lang w:bidi="ar-DZ"/>
        </w:rPr>
        <w:t xml:space="preserve"> قد قرّرت تكوين حكومة مؤقّتة للجمهوريّة الجزائريّة.</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 وجاء في البيان الأوّل للحكومة المؤقّتة بعد أن تعهّدت بأن تبقى وفيّة للمبادئ السّامية </w:t>
      </w:r>
      <w:r>
        <w:rPr>
          <w:rFonts w:ascii="Traditional Arabic" w:hAnsi="Traditional Arabic" w:cs="Traditional Arabic" w:eastAsia="Traditional Arabic"/>
          <w:b/>
          <w:bCs/>
          <w:sz w:val="32"/>
          <w:szCs w:val="32"/>
          <w:u w:val="single"/>
          <w:rtl/>
          <w:lang w:bidi="ar-DZ"/>
        </w:rPr>
        <w:t xml:space="preserve">للثّورة التّحريريّة</w:t>
      </w:r>
      <w:r>
        <w:rPr>
          <w:rFonts w:ascii="Traditional Arabic" w:hAnsi="Traditional Arabic" w:cs="Traditional Arabic" w:eastAsia="Traditional Arabic"/>
          <w:sz w:val="32"/>
          <w:szCs w:val="32"/>
          <w:rtl/>
          <w:lang w:bidi="ar-DZ"/>
        </w:rPr>
        <w:t xml:space="preserve">، الّتي سطّرها بيان أوّل نوفمبر، ندّدت بالسّياسة الفرنسيّة الرّامية إلى إدماج الشّعب الجزائري بفرنسا...".</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محمّد لحسن زغيدي. مؤتمر الصّومام وتطوّر ثورة التّحرير الوطني الجزائريّة (1962/1956).</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دار هومة للطّباعة والنّشر والتّوزيع الجزائر. عام 2009. صفحة191.</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الجدول التّالي:</w:t>
      </w:r>
    </w:p>
    <w:tbl>
      <w:tblPr>
        <w:bidiVisual/>
        <w:tblW w:w="822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252"/>
        <w:gridCol w:w="3969"/>
      </w:tblGrid>
      <w:tr>
        <w:trPr>
          <w:jc w:val="center"/>
        </w:trPr>
        <w:tc>
          <w:tcPr>
            <w:tcW w:w="425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تاريخه</w:t>
            </w:r>
          </w:p>
        </w:tc>
      </w:tr>
      <w:tr>
        <w:trPr>
          <w:jc w:val="center"/>
        </w:trPr>
        <w:tc>
          <w:tcPr>
            <w:tcW w:w="425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08 سبتمبر 1954</w:t>
            </w:r>
          </w:p>
        </w:tc>
      </w:tr>
      <w:tr>
        <w:trPr>
          <w:jc w:val="center"/>
        </w:trPr>
        <w:tc>
          <w:tcPr>
            <w:tcW w:w="425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إضراب الطّلبة المسلمين الجزائريين</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425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13 أوت 1961</w:t>
            </w:r>
          </w:p>
        </w:tc>
      </w:tr>
    </w:tbl>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 لم يكن لينتهيَ صراع القطبين بعد الحرب العالميّة الثّانيّة، والّذي استمرّ حتّى عام 1989 دون أن تكون له انعكاسات مختلفة على مسار العلاقات الدّوليّة.</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طبيعة الصّراع بين القطبين.</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انعكاساته على مسار العلاقات الدّوليّة.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في ظلّ تمتّع الولايات المتّحدة الأمريكيّة بِتعْداد سكاني كبير وارتفاع في </w:t>
      </w:r>
      <w:r>
        <w:rPr>
          <w:rFonts w:ascii="Traditional Arabic" w:hAnsi="Traditional Arabic" w:cs="Traditional Arabic" w:eastAsia="Traditional Arabic"/>
          <w:b/>
          <w:bCs/>
          <w:sz w:val="32"/>
          <w:szCs w:val="32"/>
          <w:u w:val="single"/>
          <w:rtl/>
          <w:lang w:bidi="ar-DZ"/>
        </w:rPr>
        <w:t xml:space="preserve">الدّخل الفردي</w:t>
      </w:r>
      <w:r>
        <w:rPr>
          <w:rFonts w:ascii="Traditional Arabic" w:hAnsi="Traditional Arabic" w:cs="Traditional Arabic" w:eastAsia="Traditional Arabic"/>
          <w:sz w:val="32"/>
          <w:szCs w:val="32"/>
          <w:rtl/>
          <w:lang w:bidi="ar-DZ"/>
        </w:rPr>
        <w:t xml:space="preserve">، فهي تُشكّل أكبر </w:t>
      </w:r>
      <w:r>
        <w:rPr>
          <w:rFonts w:ascii="Traditional Arabic" w:hAnsi="Traditional Arabic" w:cs="Traditional Arabic" w:eastAsia="Traditional Arabic"/>
          <w:b/>
          <w:bCs/>
          <w:sz w:val="32"/>
          <w:szCs w:val="32"/>
          <w:u w:val="single"/>
          <w:rtl/>
          <w:lang w:bidi="ar-DZ"/>
        </w:rPr>
        <w:t xml:space="preserve">سوق استهلاكيّة</w:t>
      </w:r>
      <w:r>
        <w:rPr>
          <w:rFonts w:ascii="Traditional Arabic" w:hAnsi="Traditional Arabic" w:cs="Traditional Arabic" w:eastAsia="Traditional Arabic"/>
          <w:sz w:val="32"/>
          <w:szCs w:val="32"/>
          <w:rtl/>
          <w:lang w:bidi="ar-DZ"/>
        </w:rPr>
        <w:t xml:space="preserve"> في العالم... وهو ما يُميّز هذا الاقتصاد الّذي يعتمد على الاستهلاك قبل الادّخار والاستثمار، كآلية لدفع مسيرة </w:t>
      </w:r>
      <w:r>
        <w:rPr>
          <w:rFonts w:ascii="Traditional Arabic" w:hAnsi="Traditional Arabic" w:cs="Traditional Arabic" w:eastAsia="Traditional Arabic"/>
          <w:b/>
          <w:bCs/>
          <w:sz w:val="32"/>
          <w:szCs w:val="32"/>
          <w:u w:val="single"/>
          <w:rtl/>
          <w:lang w:bidi="ar-DZ"/>
        </w:rPr>
        <w:t xml:space="preserve">النّمو الاقتصادي</w:t>
      </w:r>
      <w:r>
        <w:rPr>
          <w:rFonts w:ascii="Traditional Arabic" w:hAnsi="Traditional Arabic" w:cs="Traditional Arabic" w:eastAsia="Traditional Arabic"/>
          <w:sz w:val="32"/>
          <w:szCs w:val="32"/>
          <w:rtl/>
          <w:lang w:bidi="ar-DZ"/>
        </w:rPr>
        <w:t xml:space="preserve">، ولذلك تتهافت مختلف الدّول على التّصدير للولايات المتّحدة الأمريكيّة...".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المواقع الرّاهنة للقوى في النّظام الاقتصادي العالمي. قراءة في التّقارير الدّوليّة.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مجلّة السّياسة الدّوليّة. العدد: 173. المجلّد: 43. جويلية 2008. صفحة 57.</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قيمة تجارة البضائع للاتّحاد الأوروبي مع بعض الشّركاء التّجاريين عامي 2021 و2022.</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الوحدة: مليار دولار.</w:t>
      </w:r>
    </w:p>
    <w:tbl>
      <w:tblPr>
        <w:bidiVisual/>
        <w:tblW w:w="102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566"/>
        <w:gridCol w:w="1727"/>
        <w:gridCol w:w="1727"/>
        <w:gridCol w:w="1727"/>
        <w:gridCol w:w="1727"/>
        <w:gridCol w:w="1727"/>
      </w:tblGrid>
      <w:tr>
        <w:trPr>
          <w:jc w:val="center"/>
        </w:trPr>
        <w:tc>
          <w:tcPr>
            <w:tcW w:w="1566"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الدّول / السّنوات</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الو.م.الأمريكيّة</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الصّين</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روسيا</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سويسرا</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اليابان</w:t>
            </w:r>
          </w:p>
        </w:tc>
      </w:tr>
      <w:tr>
        <w:trPr>
          <w:jc w:val="center"/>
        </w:trPr>
        <w:tc>
          <w:tcPr>
            <w:tcW w:w="1566"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2021</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633.07</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697.29</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252.84</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280.75</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124.60</w:t>
            </w:r>
          </w:p>
        </w:tc>
      </w:tr>
      <w:tr>
        <w:trPr>
          <w:jc w:val="center"/>
        </w:trPr>
        <w:tc>
          <w:tcPr>
            <w:tcW w:w="1566"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2022</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867.99</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856.91</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258.52</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333.47</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141.55</w:t>
            </w:r>
          </w:p>
        </w:tc>
      </w:tr>
    </w:tbl>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La Suisse et L'UE en chiffres. Statistiques relatives au commerce,</w:t>
      </w:r>
    </w:p>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à la population et au transport. Août 2023.P12.</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مثّل المعطيات الإحصائيّة الواردة في الجدول </w:t>
      </w:r>
      <w:r>
        <w:rPr>
          <w:rFonts w:ascii="Traditional Arabic" w:hAnsi="Traditional Arabic" w:cs="Traditional Arabic" w:eastAsia="Traditional Arabic"/>
          <w:b/>
          <w:bCs/>
          <w:sz w:val="32"/>
          <w:szCs w:val="32"/>
          <w:rtl/>
          <w:lang w:bidi="ar-DZ"/>
        </w:rPr>
        <w:t xml:space="preserve">بأعمدة بيانيّة في مجال واحد بمقياس رسم:</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 سم لكلّ 80 مليار دولار.</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 سم لكلّ عمود.</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 يُثير التّطور الاقتصادي الكبير الّذي تعرفه منطقة شرق وجنوب شرق آسيا اهتمام الكثير، فرغم المعيقات الّتي تعترضها، إلاّ أنّها حجزت لنفسها مكانة اقتصادية بين اقتصادات العالم.</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عوامل التّطور الاقتصادي لمنطقة شرق وجنوب شرق آسيا.</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المعيقات الدّاخليّة الّتي تعترض اقتصادها.</w:t>
      </w:r>
    </w:p>
    <w:p>
      <w:pPr>
        <w:bidi/>
        <w:spacing w:before="4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الأول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يحتوي الموضوع على (03) صفحات (من الصفحة 3 من 5 إلى الصفحة 5 من 5)</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تعرّض حلف شمال الأطلسي لِمطارق نقد عنيفة انهالت عليه من قِبَلِ الدّول الاشتراكيّة ودول </w:t>
      </w:r>
      <w:r>
        <w:rPr>
          <w:rFonts w:ascii="Traditional Arabic" w:hAnsi="Traditional Arabic" w:cs="Traditional Arabic" w:eastAsia="Traditional Arabic"/>
          <w:b/>
          <w:bCs/>
          <w:sz w:val="32"/>
          <w:szCs w:val="32"/>
          <w:u w:val="single"/>
          <w:rtl/>
          <w:lang w:bidi="ar-DZ"/>
        </w:rPr>
        <w:t xml:space="preserve">عدم الانحياز</w:t>
      </w:r>
      <w:r>
        <w:rPr>
          <w:rFonts w:ascii="Traditional Arabic" w:hAnsi="Traditional Arabic" w:cs="Traditional Arabic" w:eastAsia="Traditional Arabic"/>
          <w:sz w:val="32"/>
          <w:szCs w:val="32"/>
          <w:rtl/>
          <w:lang w:bidi="ar-DZ"/>
        </w:rPr>
        <w:t xml:space="preserve">... فأمّا الدّول الاشتراكيّة فترى أنّ الحلف يُناقض في جوهره قضيّة السّلام ومبادئ </w:t>
      </w:r>
      <w:r>
        <w:rPr>
          <w:rFonts w:ascii="Traditional Arabic" w:hAnsi="Traditional Arabic" w:cs="Traditional Arabic" w:eastAsia="Traditional Arabic"/>
          <w:b/>
          <w:bCs/>
          <w:sz w:val="32"/>
          <w:szCs w:val="32"/>
          <w:u w:val="single"/>
          <w:rtl/>
          <w:lang w:bidi="ar-DZ"/>
        </w:rPr>
        <w:t xml:space="preserve">الأمم المتّحدة</w:t>
      </w:r>
      <w:r>
        <w:rPr>
          <w:rFonts w:ascii="Traditional Arabic" w:hAnsi="Traditional Arabic" w:cs="Traditional Arabic" w:eastAsia="Traditional Arabic"/>
          <w:sz w:val="32"/>
          <w:szCs w:val="32"/>
          <w:rtl/>
          <w:lang w:bidi="ar-DZ"/>
        </w:rPr>
        <w:t xml:space="preserve">... أمّا أنصار عدم الانحياز فإنّهم ينْعَوْن على الحلف... أنّه أكّد انقسام العالم إلى كتلتين متناهضتين... ولأنّه يدعو إلى </w:t>
      </w:r>
      <w:r>
        <w:rPr>
          <w:rFonts w:ascii="Traditional Arabic" w:hAnsi="Traditional Arabic" w:cs="Traditional Arabic" w:eastAsia="Traditional Arabic"/>
          <w:b/>
          <w:bCs/>
          <w:sz w:val="32"/>
          <w:szCs w:val="32"/>
          <w:u w:val="single"/>
          <w:rtl/>
          <w:lang w:bidi="ar-DZ"/>
        </w:rPr>
        <w:t xml:space="preserve">السّباق نحو التّسلّح</w:t>
      </w:r>
      <w:r>
        <w:rPr>
          <w:rFonts w:ascii="Traditional Arabic" w:hAnsi="Traditional Arabic" w:cs="Traditional Arabic" w:eastAsia="Traditional Arabic"/>
          <w:sz w:val="32"/>
          <w:szCs w:val="32"/>
          <w:rtl/>
          <w:lang w:bidi="ar-DZ"/>
        </w:rPr>
        <w:t xml:space="preserve">...ولأنّه استُخْدِم في تدعيم الاستعمار وقمع الحركات التّحرريّة...".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محمّد عزيز شكري. الأحلاف والتّكتّلات في السّياسة العالميّة.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عالم المعرفة 07. صفحة 42.</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على خريطة العالم المرفقة، وقّع دولتين من دول </w:t>
      </w:r>
      <w:r>
        <w:rPr>
          <w:rFonts w:ascii="Traditional Arabic" w:hAnsi="Traditional Arabic" w:cs="Traditional Arabic" w:eastAsia="Traditional Arabic"/>
          <w:b/>
          <w:bCs/>
          <w:sz w:val="32"/>
          <w:szCs w:val="32"/>
          <w:rtl/>
          <w:lang w:bidi="ar-DZ"/>
        </w:rPr>
        <w:t xml:space="preserve">حلف شمال الأطلسي</w:t>
      </w:r>
      <w:r>
        <w:rPr>
          <w:rFonts w:ascii="Traditional Arabic" w:hAnsi="Traditional Arabic" w:cs="Traditional Arabic" w:eastAsia="Traditional Arabic"/>
          <w:sz w:val="32"/>
          <w:szCs w:val="32"/>
          <w:rtl/>
          <w:lang w:bidi="ar-DZ"/>
        </w:rPr>
        <w:t xml:space="preserve"> ودولتين من دول </w:t>
      </w:r>
      <w:r>
        <w:rPr>
          <w:rFonts w:ascii="Traditional Arabic" w:hAnsi="Traditional Arabic" w:cs="Traditional Arabic" w:eastAsia="Traditional Arabic"/>
          <w:b/>
          <w:bCs/>
          <w:sz w:val="32"/>
          <w:szCs w:val="32"/>
          <w:rtl/>
          <w:lang w:bidi="ar-DZ"/>
        </w:rPr>
        <w:t xml:space="preserve">حركة عدم الانحياز.</w:t>
      </w:r>
    </w:p>
    <w:p>
      <w:pPr>
        <w:bidi/>
        <w:spacing w:before="4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 اعتمدت الثّورة الجزائريّة عبر مراحل كفاحها على استراتيجية داخلية وخارجية، فداخليا اعتمدت على مخطّطات عسكريّة أفشلت بها كلّ استراتيجيّات المستعمر في القضاء عليها، وخارجيا على نشاط ديبلوماسي عرّفت به العالم بالقضيّة الجزائريّة وأكسبها تأييدا دوليا.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المخطّطات العسكريّة الّتي اعتمدت عليها الثّورة داخليا.</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وسائل التّعريف بالقضيّة الجزائريّة خارجيا.</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أصبح الاتّحاد الأوروبي ساري المفعول ابتداء من سنة 1993 طبقا لِمُقْتَضَيَاتِ </w:t>
      </w:r>
      <w:r>
        <w:rPr>
          <w:rFonts w:ascii="Traditional Arabic" w:hAnsi="Traditional Arabic" w:cs="Traditional Arabic" w:eastAsia="Traditional Arabic"/>
          <w:b/>
          <w:bCs/>
          <w:sz w:val="32"/>
          <w:szCs w:val="32"/>
          <w:u w:val="single"/>
          <w:rtl/>
          <w:lang w:bidi="ar-DZ"/>
        </w:rPr>
        <w:t xml:space="preserve">معاهدة ماستريخت</w:t>
      </w:r>
      <w:r>
        <w:rPr>
          <w:rFonts w:ascii="Traditional Arabic" w:hAnsi="Traditional Arabic" w:cs="Traditional Arabic" w:eastAsia="Traditional Arabic"/>
          <w:sz w:val="32"/>
          <w:szCs w:val="32"/>
          <w:rtl/>
          <w:lang w:bidi="ar-DZ"/>
        </w:rPr>
        <w:t xml:space="preserve">... حيث عمل على تحرير عمليّات الدّفع و</w:t>
      </w:r>
      <w:r>
        <w:rPr>
          <w:rFonts w:ascii="Traditional Arabic" w:hAnsi="Traditional Arabic" w:cs="Traditional Arabic" w:eastAsia="Traditional Arabic"/>
          <w:b/>
          <w:bCs/>
          <w:sz w:val="32"/>
          <w:szCs w:val="32"/>
          <w:u w:val="single"/>
          <w:rtl/>
          <w:lang w:bidi="ar-DZ"/>
        </w:rPr>
        <w:t xml:space="preserve">حركة رؤوس الأموال</w:t>
      </w:r>
      <w:r>
        <w:rPr>
          <w:rFonts w:ascii="Traditional Arabic" w:hAnsi="Traditional Arabic" w:cs="Traditional Arabic" w:eastAsia="Traditional Arabic"/>
          <w:sz w:val="32"/>
          <w:szCs w:val="32"/>
          <w:rtl/>
          <w:lang w:bidi="ar-DZ"/>
        </w:rPr>
        <w:t xml:space="preserve"> بين الدّول الأعضاء، وزيادة التّعاون بين الهيئات العامّة، ومزيدا من التّطابق في السّياسة الاقتصاديّة ... داخل المجموعة الأوروبيّة وصولا إلى إنشاء البنك المركزي الّذي يقوم برسم السّياسة النّقديّة وإصدار العملة الموحّدة ... ثمّ تابعت الدّول الأوروبيّة عمليّة </w:t>
      </w:r>
      <w:r>
        <w:rPr>
          <w:rFonts w:ascii="Traditional Arabic" w:hAnsi="Traditional Arabic" w:cs="Traditional Arabic" w:eastAsia="Traditional Arabic"/>
          <w:b/>
          <w:bCs/>
          <w:sz w:val="32"/>
          <w:szCs w:val="32"/>
          <w:u w:val="single"/>
          <w:rtl/>
          <w:lang w:bidi="ar-DZ"/>
        </w:rPr>
        <w:t xml:space="preserve">الاندماج</w:t>
      </w:r>
      <w:r>
        <w:rPr>
          <w:rFonts w:ascii="Traditional Arabic" w:hAnsi="Traditional Arabic" w:cs="Traditional Arabic" w:eastAsia="Traditional Arabic"/>
          <w:sz w:val="32"/>
          <w:szCs w:val="32"/>
          <w:rtl/>
          <w:lang w:bidi="ar-DZ"/>
        </w:rPr>
        <w:t xml:space="preserve"> والوحدة وضمّ دول جديدة من أوروبا الشّرقيّة ...".</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وليد إبراهيم حذيفة. القوى الاقتصاديّة الصّاعدة في ظلّ العولمة. (2015/2014). صفحة 46.</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نسبة مساهمة بعض الدّول في إنتاج الغاز الطّبيعي في العالم عام 2022.</w:t>
      </w:r>
    </w:p>
    <w:tbl>
      <w:tblPr>
        <w:bidiVisual/>
        <w:tblW w:w="1009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077"/>
        <w:gridCol w:w="1701"/>
        <w:gridCol w:w="1134"/>
        <w:gridCol w:w="907"/>
        <w:gridCol w:w="907"/>
        <w:gridCol w:w="907"/>
        <w:gridCol w:w="907"/>
        <w:gridCol w:w="1530"/>
        <w:gridCol w:w="1020"/>
      </w:tblGrid>
      <w:tr>
        <w:trPr>
          <w:jc w:val="center"/>
        </w:trPr>
        <w:tc>
          <w:tcPr>
            <w:tcW w:w="1077" w:type="dxa"/>
            <w:vAlign w:val="top"/>
          </w:tcPr>
          <w:p>
            <w:pPr>
              <w:bidi/>
              <w:spacing w:before="0" w:after="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الدّول</w:t>
            </w:r>
          </w:p>
        </w:tc>
        <w:tc>
          <w:tcPr>
            <w:tcW w:w="1701"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الو.م.الأمريكيّة</w:t>
            </w:r>
          </w:p>
        </w:tc>
        <w:tc>
          <w:tcPr>
            <w:tcW w:w="1134"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روسيا</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إيران</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الصّين</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كندا</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قطر</w:t>
            </w:r>
          </w:p>
        </w:tc>
        <w:tc>
          <w:tcPr>
            <w:tcW w:w="153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م.ع.السعودية</w:t>
            </w:r>
          </w:p>
        </w:tc>
        <w:tc>
          <w:tcPr>
            <w:tcW w:w="102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الجزائر</w:t>
            </w:r>
          </w:p>
        </w:tc>
      </w:tr>
      <w:tr>
        <w:trPr>
          <w:jc w:val="center"/>
        </w:trPr>
        <w:tc>
          <w:tcPr>
            <w:tcW w:w="1077" w:type="dxa"/>
            <w:vAlign w:val="top"/>
          </w:tcPr>
          <w:p>
            <w:pPr>
              <w:bidi/>
              <w:spacing w:before="0" w:after="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النّسبة %</w:t>
            </w:r>
          </w:p>
        </w:tc>
        <w:tc>
          <w:tcPr>
            <w:tcW w:w="1701"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24.2</w:t>
            </w:r>
          </w:p>
        </w:tc>
        <w:tc>
          <w:tcPr>
            <w:tcW w:w="1134"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15.3</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6.4</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5.5</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4.6</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4.4</w:t>
            </w:r>
          </w:p>
        </w:tc>
        <w:tc>
          <w:tcPr>
            <w:tcW w:w="153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3.0</w:t>
            </w:r>
          </w:p>
        </w:tc>
        <w:tc>
          <w:tcPr>
            <w:tcW w:w="102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2.4</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.Source:The Energy Institute Statistical Review of World Energy 2023</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 يتظاهر عالم الشّمال (المتقدّم) بمساعدة عالم الجنوب (المتخلّف) للخروج من دائرة التّخلّف، إلاّ أنّ الواقع يُشير أنّه يريد بقاءه على حاله لاستغلال ثرواته الهائلة خدمة لاقتصاده.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مظاهر التّخلّف الاقتصاديّة لعالم الجنوب.</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أهميّة عالم الجنوب الاقتصاديّة بالنّسبة لعالم الشّمال.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الخريطة تابعة للموضوع الثّاني (تاريخ).    خريطة العالم</w:t>
      </w:r>
    </w:p>
    <w:p>
      <w:pPr>
        <w:bidi/>
        <w:spacing w:before="0" w:after="60"/>
        <w:jc w:val="center"/>
        <w:rPr>
          <w:rFonts w:ascii="Traditional Arabic" w:hAnsi="Traditional Arabic" w:cs="Traditional Arabic" w:eastAsia="Traditional Arabic"/>
          <w:sz w:val="32"/>
          <w:szCs w:val="32"/>
          <w:rtl/>
        </w:rPr>
      </w:pPr>
      <w:r>
        <w:drawing>
          <wp:inline xmlns:a="http://schemas.openxmlformats.org/drawingml/2006/main" xmlns:pic="http://schemas.openxmlformats.org/drawingml/2006/picture">
            <wp:extent cx="5220000" cy="7400959"/>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7400959"/>
                    </a:xfrm>
                    <a:prstGeom prst="rect"/>
                  </pic:spPr>
                </pic:pic>
              </a:graphicData>
            </a:graphic>
          </wp:inline>
        </w:drawing>
      </w:r>
    </w:p>
    <w:tbl>
      <w:tblPr>
        <w:bidiVisual/>
        <w:tblW w:w="59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5953"/>
      </w:tblGrid>
      <w:tr>
        <w:trPr>
          <w:jc w:val="center"/>
        </w:trPr>
        <w:tc>
          <w:tcPr>
            <w:tcW w:w="5953"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ينجز العمل المطلوب على الخريطة وتعاد مع أوراق الإجابة</w:t>
            </w:r>
          </w:p>
        </w:tc>
      </w:tr>
    </w:tbl>
    <w:p>
      <w:pPr>
        <w:bidi/>
        <w:spacing w:before="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F35C0380-A338-4CD0-8811-1ECC14644A8E}"/>
    <w:embedBold r:id="rIdTajBold" w:fontKey="{1508FC2B-CFC5-4FEF-BABD-3F2CCF10CA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