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الجمهورية الجزائرية الديمقراطية الشعبية</w:t>
      </w:r>
    </w:p>
    <w:tbl>
      <w:tblPr>
        <w:bidiVisual/>
        <w:tblW w:w="10206" w:type="dxa"/>
        <w:jc w:val="center"/>
        <w:tblBorders>
          <w:top w:val="nil"/>
          <w:left w:val="nil"/>
          <w:bottom w:val="nil"/>
          <w:right w:val="nil"/>
          <w:insideH w:val="nil"/>
          <w:insideV w:val="nil"/>
        </w:tblBorders>
        <w:tblLayout w:type="fixed"/>
        <w:tblCellMar>
          <w:left w:w="40" w:type="dxa"/>
          <w:right w:w="40" w:type="dxa"/>
        </w:tblCellMar>
        <w:tblLook w:val="04A0" w:firstRow="1" w:lastRow="0" w:firstColumn="1" w:lastColumn="0" w:noHBand="0" w:noVBand="1"/>
      </w:tblPr>
      <w:tblGrid>
        <w:gridCol w:w="4406"/>
        <w:gridCol w:w="1700"/>
        <w:gridCol w:w="4100"/>
      </w:tblGrid>
      <w:tr>
        <w:trPr>
          <w:jc w:val="center"/>
        </w:trPr>
        <w:tc>
          <w:tcPr>
            <w:tcW w:w="4406"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وزارة التربية الوطنية</w:t>
            </w:r>
          </w:p>
        </w:tc>
        <w:tc>
          <w:tcPr>
            <w:tcW w:w="1700" w:type="dxa"/>
            <w:vMerge w:val="restart"/>
            <w:tcBorders>
              <w:top w:val="nil"/>
              <w:left w:val="nil"/>
              <w:bottom w:val="nil"/>
              <w:right w:val="nil"/>
            </w:tcBorders>
            <w:vAlign w:val="center"/>
          </w:tcPr>
          <w:p>
            <w:pPr>
              <w:bidi/>
              <w:spacing w:before="0" w:after="0" w:line="378" w:lineRule="atLeast"/>
              <w:jc w:val="center"/>
              <w:rPr>
                <w:rFonts w:ascii="Traditional Arabic" w:hAnsi="Traditional Arabic" w:cs="Traditional Arabic" w:eastAsia="Traditional Arabic"/>
                <w:sz w:val="28"/>
                <w:szCs w:val="28"/>
                <w:rtl/>
              </w:rPr>
            </w:pPr>
          </w:p>
        </w:tc>
        <w:tc>
          <w:tcPr>
            <w:tcW w:w="4100"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الديوان الوطني للامتحانات والمسابقات</w:t>
            </w:r>
          </w:p>
        </w:tc>
      </w:tr>
      <w:tr>
        <w:trPr>
          <w:jc w:val="center"/>
        </w:trPr>
        <w:tc>
          <w:tcPr>
            <w:tcW w:w="4406"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امتحان بكالوريا التعليم الثانوي</w:t>
            </w:r>
          </w:p>
        </w:tc>
        <w:tc>
          <w:tcPr>
            <w:tcW w:w="1700" w:type="dxa"/>
            <w:vMerge/>
            <w:tcBorders>
              <w:top w:val="nil"/>
              <w:left w:val="nil"/>
              <w:bottom w:val="nil"/>
              <w:right w:val="nil"/>
            </w:tcBorders>
            <w:vAlign w:val="top"/>
          </w:tcPr>
          <w:p>
            <w:pPr>
              <w:bidi/>
              <w:spacing w:before="0" w:after="0" w:line="378" w:lineRule="atLeast"/>
              <w:jc w:val="both"/>
              <w:rPr>
                <w:rFonts w:ascii="Traditional Arabic" w:hAnsi="Traditional Arabic" w:cs="Traditional Arabic" w:eastAsia="Traditional Arabic"/>
                <w:sz w:val="28"/>
                <w:szCs w:val="28"/>
                <w:rtl/>
              </w:rPr>
            </w:pPr>
          </w:p>
        </w:tc>
        <w:tc>
          <w:tcPr>
            <w:tcW w:w="4100"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دورة : 2017</w:t>
            </w:r>
          </w:p>
        </w:tc>
      </w:tr>
      <w:tr>
        <w:trPr>
          <w:jc w:val="center"/>
        </w:trPr>
        <w:tc>
          <w:tcPr>
            <w:tcW w:w="4406"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الشعبة : جميع الشعب</w:t>
            </w:r>
          </w:p>
        </w:tc>
        <w:tc>
          <w:tcPr>
            <w:tcW w:w="1700" w:type="dxa"/>
            <w:vMerge/>
            <w:tcBorders>
              <w:top w:val="nil"/>
              <w:left w:val="nil"/>
              <w:bottom w:val="single" w:sz="8" w:space="0" w:color="000000"/>
              <w:right w:val="nil"/>
            </w:tcBorders>
            <w:vAlign w:val="top"/>
          </w:tcPr>
          <w:p>
            <w:pPr>
              <w:bidi/>
              <w:spacing w:before="0" w:after="0" w:line="378" w:lineRule="atLeast"/>
              <w:jc w:val="both"/>
              <w:rPr>
                <w:rFonts w:ascii="Traditional Arabic" w:hAnsi="Traditional Arabic" w:cs="Traditional Arabic" w:eastAsia="Traditional Arabic"/>
                <w:sz w:val="28"/>
                <w:szCs w:val="28"/>
                <w:rtl/>
              </w:rPr>
            </w:pPr>
          </w:p>
        </w:tc>
        <w:tc>
          <w:tcPr>
            <w:tcW w:w="4100"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r>
          </w:p>
        </w:tc>
      </w:tr>
    </w:tbl>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اختبار في مادة: العلوم الإسلامية</w:t>
            </w:r>
          </w:p>
        </w:tc>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المدة: 02 سا و30 د</w:t>
            </w:r>
          </w:p>
        </w:tc>
      </w:tr>
    </w:tbl>
    <w:p>
      <w:pPr>
        <w:bidi/>
        <w:spacing w:before="120" w:after="6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على المترشح أن يختار أحد الموضوعين الآتيين:</w:t>
      </w:r>
    </w:p>
    <w:p>
      <w:pPr>
        <w:keepNext/>
        <w:bidi/>
        <w:spacing w:before="60" w:after="10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الموضوع الأول</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p>
      <w:pPr>
        <w:bidi/>
        <w:spacing w:before="0" w:after="40" w:line="432"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قال الله تعالى: </w:t>
      </w:r>
      <w:r>
        <w:rPr>
          <w:rFonts w:ascii="Traditional Arabic" w:hAnsi="Traditional Arabic" w:cs="Traditional Arabic" w:eastAsia="Traditional Arabic"/>
          <w:b/>
          <w:bCs/>
          <w:sz w:val="32"/>
          <w:szCs w:val="32"/>
          <w:rtl/>
          <w:lang w:bidi="ar-DZ"/>
        </w:rPr>
        <w:t xml:space="preserve">﴿فَبِظُلْمٍ مِّنَ الَّذِينَ هَادُوا حَرَّمْنَا عَلَيْهِمْ طَيِّبَاتٍ أُحِلَّتْ لَهُمْ وَبِصَدِّهِمْ عَن سَبِيلِ اللَّهِ كَثِيرًا (160) وَأَخْذِهِمُ الرِّبَا وَقَدْ نُهُوا عَنْهُ وَأَكْلِهِمْ أَمْوَالَ النَّاسِ بِالْبَاطِلِ ۚ وَأَعْتَدْنَا لِلْكَافِرِينَ مِنْهُمْ عَذَابًا أَلِيمًا (161)﴾</w:t>
      </w:r>
      <w:r>
        <w:rPr>
          <w:rFonts w:ascii="Traditional Arabic" w:hAnsi="Traditional Arabic" w:cs="Traditional Arabic" w:eastAsia="Traditional Arabic"/>
          <w:b/>
          <w:bCs/>
          <w:sz w:val="22"/>
          <w:szCs w:val="22"/>
          <w:rtl/>
          <w:lang w:bidi="ar-DZ"/>
        </w:rPr>
        <w:t xml:space="preserve">  [النساء: 160 - 161]</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اذكر مراحلَ تحريمِ الرِّبا، ثمّ حدِّد المرحلة الواردة في النص.</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بيّن حُكم المبادلات المالية الآتية مع التعليل:</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بيع 70 كلغ من القمح بـ 20 كلغ من التمر إلى أجل.</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بيع 19000 دينار جزائري بـ 150 أورو يدًا بيدٍ.</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أشارت الآيتان إلى ضلالِ اليهودِ وانحرافهم عن الحقّ. اذكر ستّةً من عقائدهم المحرَّفة.</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sz w:val="28"/>
          <w:szCs w:val="28"/>
          <w:rtl/>
          <w:lang w:bidi="ar-DZ"/>
        </w:rPr>
        <w:t xml:space="preserve">حمايةُ حقوقِ النّاسِ مقصد شرعيٌّ دلّت عليه الآيتان، وذلك بتحريم الاعتداء عليها. اُذكر حقوقَ غير المسلمين في بلادِ الإسلام.</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استخرج من النّص حُكمين وفائدتين.</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حفاظا على سلامةِ المجتمعِ ووحدةِ الأُسرةِ وانسجامها، نهى الإسلامُ عن التَّبنّي.</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هاتِ البديلَ الشّرعيَّ لَهُ، مبيّنًا الحكمةَ من تشريعه.</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أبرز القيم التي يُحقّقها هذا البديل من خلال ما درسته.</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أعطى الإسلامُ للطّفلِ مجهولِ النّسبِ حقوقًا. اُذكرها.</w:t>
      </w:r>
    </w:p>
    <w:p>
      <w:pPr>
        <w:bidi/>
        <w:spacing w:before="240" w:after="0" w:line="324" w:lineRule="atLeas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انتهى الموضوع الأول</w:t>
      </w:r>
    </w:p>
    <w:p>
      <w:pPr>
        <w:keepNext/>
        <w:pageBreakBefore/>
        <w:bidi/>
        <w:spacing w:before="60" w:after="10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الموضوع الثاني</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p>
      <w:pPr>
        <w:bidi/>
        <w:spacing w:before="0" w:after="6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قال رسولُ الله ﷺ في خطبةِ حجّةِ الوداعِ: ( أيُّهَا النَّاسُ، اسمَعُوا قَوْلِي واعْقِلُوهُ، تَعلَمُنَّ أنَّ كلَّ مُسلمٍ أخٌ للمسلمِ وأنَّ المسلمينَ إخوةٌ، فلا يحِلُّ لامْرِئٍ مَالُ أخيهِ إلاَّ عن طِيبِ نَفسٍ مِنْهُ، فَلَا تَظلِمُنَّ أنفُسَكُمْ، اللَّهُمَّ هلْ بلَّغتُ؟ وستَلْقَوْنَ ربَّكُم فَلَا تَرْجِعُنَّ بَعْدِي كُفَّارًا يَضْرِبُ بعضُكُم رِقابَ بَعْضٍ. أيُّهَا النَّاسُ، إنَّ رَبَّكُم واحِدٌ وإنَّ أبَاكُم واحِدٌ، كُلُّكُم لآدَمَ وآدَمُ مِن تُرابٍ، أكرمُكُم عندَ اللهِ أتقَاكُم، وليسَ لعربيٍّ فضلٌ على عَجَمِيٍّ إلاَّ بالتَّقوَى، ألاَ هَلْ بلَّغتُ؟ اللَّهُمَّ اشهَدْ ).</w:t>
      </w:r>
      <w:r>
        <w:rPr>
          <w:rFonts w:ascii="Traditional Arabic" w:hAnsi="Traditional Arabic" w:cs="Traditional Arabic" w:eastAsia="Traditional Arabic"/>
          <w:b/>
          <w:bCs/>
          <w:sz w:val="22"/>
          <w:szCs w:val="22"/>
          <w:rtl/>
          <w:lang w:bidi="ar-DZ"/>
        </w:rPr>
        <w:t xml:space="preserve">  [من خطبة حجة الوداع – الكتاب المدرسي –]</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في قوله ﷺ: ( وَسَتَلقونَ ربَّكُم ) إشارةٌ إلى وسيلةٍ من وسائل تثبيتِ العقيدة. حَدِّدْهَا، ثمَّ اشرحها.</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استخرج من النَّصِ حقَّيْنِ من حقوق الإنسان، واشرح واحداً منهُمَا.</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ممّا يقوّي وحدةَ المسلمين الإجماعُ في المسائلِ الاجتهادية.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عرِّف الإجماع لغةً واصطلاحًا.</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هاتِ مثالين عنه.</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sz w:val="28"/>
          <w:szCs w:val="28"/>
          <w:rtl/>
          <w:lang w:bidi="ar-DZ"/>
        </w:rPr>
        <w:t xml:space="preserve">أشار النبي ﷺ في قوله: ( إنَّ ربّكم واحِدٌ وإنَّ أبَاكُم واحِدٌ ) إلى رابطةٍ من الروابط الاجتماعية بين المسلمين وغيرهم. بيِّنْهَا، ثم اذكر الروابطَ الأخرى.</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استخرج من النَّص حُكميْنِ وفائِدتيْن.</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اشترى شخصٌ سيارةً على أن يُسدِّدَ للبائعِ في كلِّ شهرٍ جزءًا مِنْ ثَمنِهَا.</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ما اسمُ هذا البيع؟ عرِّفهُ اصطلاحًا.</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اذكر أربعةً من شروطِه.</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طَلَبَ هذا المشتري تأخيرَ التَّسديد، فاشترطَ عليه البائعُ الزيادةَ في الثمن.</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ما نوعُ هذه المعاملة؟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بيّن حُكمَهَا، واذكر دليلاً واحداً عليه.</w:t>
      </w:r>
    </w:p>
    <w:p>
      <w:pPr>
        <w:bidi/>
        <w:spacing w:before="240" w:after="0" w:line="324" w:lineRule="atLeas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انتهى الموضوع الثاني</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896E3932-B3FD-4AA3-830D-71A8AA5E3BBD}"/>
    <w:embedBold r:id="rIdTajBold" w:fontKey="{323518AC-745A-4DF6-A0D0-68C4AA100D5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اختبار في مادة: العلوم الإسلامية / جميع الشعب / بكالوريا 2017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اختبار في مادة: العلوم الإسلامية / جميع الشعب / بكالوريا 2017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Traditional Arabic" w:hAnsi="Traditional Arabic" w:cs="Traditional Arabic" w:eastAsia="Traditional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