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في الآية إشارة إلى اهتمام القرآن الكريم بالصحّة. إلى أي قسم من أقسام الصحّة أشارت الآية؟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الصحّة النفسية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يحقّق الإسلام هذه الصحّة بتنمية صفات أساسية في شخصية المسلم. اذكر اثنتين منها مع الشّرح.</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الأول: قوّة الصلة بالله: تتحقّق باستحضار مراقبة الله من خلال الامتثال لأوامر الله ونواهيه وبكثرة العبادات والأذكار.. وهي أمر أساسي في بناء شخصية المسلم، حتّى تكون حياته خالية من القلق والاضطرابات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الثاني: الصّبر عند الشدائد: هو ثبات المؤمن عند نزول المصائب والهموم، لذلك رتّب الله على ذلك الأجر كما أثنى على الصابرين.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الثالث: المرونة في مواجهة الواقع: هي إيجابية المسلم في مواجهته لجميع الوقائع، فهو شاكر لله عند النعم وثابت عند نزول المصائب. وهي من أهم ما يحصن الإنسان من القلق أو الاضطراب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الرابع: الثبات والتوازن: وهو الاستمرار والمداومة على الطاعات دون إفراط أو تفريط..</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الخامس: التفاؤل وعدم اليأس: هو حسن الظن بالله وعدم القنوط وفقدان الأمل في رحمة الله.. فالمؤمن متفائل دائما لا يتطرق اليأس إلى نفسه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السادس: التزكية والأخلاق: هي الحرص على تطهير النفس من الرذائل وتربيتها على المثل العليا التي تجعل الإنسان محبوبا عند الله وعند الناس، وبذلك يسعد الإنسان ويعيش مطمئنا.</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تكلّم عن مظهرين من مظاهر محافظة القرآن الكريم على الصحّة الجسمية للإنسان من خلال ما درست.</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تنمية القوّة وتوفير الصحّة الإيجابية بمفهومها الحديث: صحّة الأجسام وجمالها من الأمور الّتي أولاها الإسلام عناية فائقة، واعتبرها من صميم رسالته، فأرشد إلى ضرورة تنمية قوة الجسم بصورها الإيجابية المختلفة (الأكل الصحّي، ممارسة الرياضة).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الإعفاء من بعض الفروض: اهتمّ الإسلام بعدم تعريض صحة الجسم إلى ما يُضعفها، فقد أسقط في ظروف خاصّة الفروضَ أو خفّضها، كإباحة الإفطار للمسافر في الصّيام.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دعوة الإسلام إلى تطبيق أسس الرّعاية الصّحية الثّلاثة: وهي الوقاية والعلاج والتّأهيل، فالإسلام اعتنى بتنمية قوة الجسم وسلامته وصحته، حيث أوجب وقاية الجسم من حدوث الأمراض نتيجة لإهمال قواعد الصّحة العامة أو التّفريط في الطّعام أو الشّراب، أو الانغماس في ملذات حسية تضر بالصّحة.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الوقاية من الأمراض: ففي مجال الصّحة الشّخصية كرّم الإسلام جسم الإنسان، فجعل طهارته التّامة أساسا لابد منه لكلّ صلاة، وكلف المسلم أن يغسل جسمه كلّه غسلا جيدا في أحيان كثيرة، وربط هذا الغسل بالعبادات، فلا تصح العبادة بدونه..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باب الوقاية من الأمراض حرّم الإسلام شرب الخمر، لما له من مضار على 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وبالقياس فإنّ الإسلام يحرّم تناول المخدرات والعقاقير والأدوية الّتي تُذهب العقل، كالحشيش وغيرها من المواد..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باب الوقاية من الأمراض نهى الإسلام عن الإسراف في الطّعام.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كما حرّم المتعة غير الشّرعية، إذ حرّم الزنا لأنّه يسبب أمراضا كثيرة، تفتك بجسم الإنسان.</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دلّت الآية الكريمة على قيمة فردية وهي طمأنينة القلب، اذكر أربعا من هذه القيم من خلال ما درست.</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خلق الرّحمة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الصّبر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الإحسان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الصّدق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العفو</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5 / استخرج من الآية الكريمة ثلاث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القلوب تطمئن بذكر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الحث على ذكر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طمأنينة القلب من علامات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طمأنينة القلب من آثار الإيمان بالله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الحث على الاهتمام بإصلاح القلوب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اذكر قاعدتين من قواعد استبعاد المبادلات الرّبوية.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الأولى: في حال تبادل شيء بجنسه، فيشترط: أ - المساواة في البدلين مثلا بمثل سواء بسواء. ب - التّسليم الفوري يدا بيد.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الثّانية: تبادل شيئين من نفس النّوع وليس من نفس الجنس.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الثّالثة: في حالة تبادل شيئين مختلفين في الجنس ومختلفين في العلة كالقمح بالنقود، فهنا يجوز كل شيء ويسقط الشّرطان ويعود التّبادل إلى مبدأ الحرية، فيمكن أن يتم بالتّساوي أو بغيره فورا أو نسيئة.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اذكر أنواع الرّبا.</w:t>
            </w:r>
          </w:p>
        </w:tc>
        <w:tc>
          <w:tcPr>
            <w:tcW w:w="6606" w:type="dxa"/>
            <w:vAlign w:val="top"/>
          </w:tcPr>
          <w:tbl>
            <w:tblPr>
              <w:bidiVisual/>
              <w:tblW w:w="6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03"/>
              <w:gridCol w:w="3203"/>
            </w:tblGrid>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النوع الأول: ربا الفضل</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تعريفه: هو البيع مع زيادة أحد العوضين عن الآخر من نفس الجنس</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النوع الثاني: ربا النّسيئة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تعريفه: هو الزيادة المشروطة التي يأخذها الدائن من المدين نظير التأجيل</w:t>
                  </w:r>
                </w:p>
              </w:tc>
            </w:tr>
          </w:tbl>
          <w:p>
            <w:pPr>
              <w:bidi/>
              <w:spacing w:before="0" w:after="0" w:line="54" w:lineRule="atLeast"/>
              <w:jc w:val="both"/>
              <w:rPr>
                <w:rFonts w:ascii="Simplified Arabic" w:hAnsi="Simplified Arabic" w:cs="Simplified Arabic" w:eastAsia="Simplified Arabic"/>
                <w:sz w:val="4"/>
                <w:szCs w:val="4"/>
                <w:rtl/>
              </w:rPr>
            </w:pP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اذكر مراحل تحريم الرّبا.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الأولى: قال تعالى: ﴿وَمَا آتَيْتُم مِّن رِّبًا لِّيَرْبُوَ فِي أَمْوَالِ النَّاسِ فَلَا يَرْبُو عِندَ اللَّهِ﴾ [الروم: 39]</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الثانية: قال تعالى: ﴿فَبِظُلْمٍ مِّنَ الَّذِينَ هَادُوا حَرَّمْنَا عَلَيْهِمْ طَيِّبَاتٍ أُحِلَّتْ لَهُمْ وَبِصَدِّهِمْ عَن سَبِيلِ اللَّهِ كَثِيرًا﴾ [النساء: 160-161]</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الثالثة: قال تعالى: ﴿يَا أَيُّهَا الَّذِينَ آمَنُوا لَا تَأْكُلُوا الرِّبَا أَضْعَافًا مُّضَاعَفَةً ۖ وَاتَّقُوا اللَّهَ لَعَلَّكُمْ تُفْلِحُونَ﴾ [آل عمران: 130]</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الرابعة: قال تعالى: ﴿الَّذِينَ يَأْكُلُونَ الرِّبَا لَا يَقُومُونَ إِلَّا كَمَا يَقُومُ الَّذِي يَتَخَبَّطُهُ الشَّيْطَانُ مِنَ الْمَسِّ ۚ ذَٰلِكَ بِأَنَّهُمْ قَالُوا إِنَّمَا الْبَيْعُ مِثْلُ الرِّبَا ۗ وَأَحَلَّ اللَّهُ الْبَيْعَ وَحَرَّمَ الرِّبَا﴾ [البقرة: 275]</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12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اشرح العبارات التّالية: "صدقة جارية"، "علم ينتفع به"، "ولد صالح يدعو له".</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صدقة جارية: هي كلّ ما يتركه العبد وقفا لله تعالى لفئة معيّنة أو جهة مخصوصة. كمن أوقف أرضا لبناء مسجد، أو مستشفى، أو أرض يكون خَراجُها لصالح طلبة العلم أو مؤسسة للنفع العام..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علم ينتفع به: هو كل منتوج علمي سواءً كان مادياً أو معنوياً أو اختراع ينتفع به الناس بعد وفاة صاحبه، كمن علّم النّاس، ومن ترك كتابا يتعلم النّاس منه سيصله ثوابُه، أو من اخترع آلة أو دواءً أو نحوهما.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ولد صالح يدعو له: هو الولد الصّالح الّذي يُخلّفه الإنسان، والّذي يتذكر والديه بالدعاء لأنّهما أحسنا تربيته، كأن يربي المسلم ابنه على الصلاح وطاعة الله.</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1×3</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عرّف الوقف لغة واصطلاحا.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اللغة: هو الحبس والمنع، ويقال: "وقفتُ الشّيء" أي حبسته.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واصطلاحا: توقُّف المالك عن التصرُّف في المال والانتفاع به لصالح الجهة الموقوف عليها، بنية التقرُّب والثواب.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ما هو المَردود الاقتصادي للوقف؟</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المساهمة في استثمار الأموال وتنميتها وإنشاء مشاريع اقتصادية.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تخفيف العبء المالي والمسؤوليات الملقاة على عاتق الدولة.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معالجة مشكلة الفقر وتحقيق تداول الأموال بين الأغنياء والفقراء.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المساهمة في التقليص من البطالة من خلال توفير مناصب شغل.</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(يكفي ذكر مردود واحد للوقف)</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أشار الحديث الشّريف إلى قيمتين من القيم القرآنية. اذكرهما وصنّفهما.</w:t>
            </w:r>
          </w:p>
        </w:tc>
        <w:tc>
          <w:tcPr>
            <w:tcW w:w="6606" w:type="dxa"/>
            <w:vAlign w:val="top"/>
          </w:tcPr>
          <w:tbl>
            <w:tblPr>
              <w:bidiVisual/>
              <w:tblW w:w="6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03"/>
              <w:gridCol w:w="3203"/>
            </w:tblGrid>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1- التكافل الاجتماعي. (صدقة جارية)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اجتماعية</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2- التعاون. (صدقة جارية)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اجتماعية</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3- المودّة والرّحمة. (ولد صالح يدعو له)</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أسرية</w:t>
                  </w:r>
                </w:p>
              </w:tc>
            </w:tr>
          </w:tbl>
          <w:p>
            <w:pPr>
              <w:bidi/>
              <w:spacing w:before="0" w:after="0" w:line="54" w:lineRule="atLeast"/>
              <w:jc w:val="both"/>
              <w:rPr>
                <w:rFonts w:ascii="Simplified Arabic" w:hAnsi="Simplified Arabic" w:cs="Simplified Arabic" w:eastAsia="Simplified Arabic"/>
                <w:sz w:val="4"/>
                <w:szCs w:val="4"/>
                <w:rtl/>
              </w:rPr>
            </w:pP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5 / استخرج من الحديث الشّريف أربع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مشروعية الوقف في الإسلام.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العلم النافع يعود على صاحبه بالخير.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دعوة الولد الصالح لوالديه تنفعهما بعد موتهما.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تنوع موارد الحسنات التي ينتفع بها المسلم يوم القيامة.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بيّن طُرق إثبات النّسب في الشّريعة الإسلامية.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الزواج الصحيح: العلاقة الزوجية القائمة على عقد شرعي 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الإقرار بالبنوة: الاعتراف بالبنوة المباشرة بحيث يقول الرجل هذا الولد مني.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البينة الشرعية: شهادة رجلين أو رجل وامرأتين.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البصمة الوراثية: وتعتبر من الوسائل الحديثة في إثبات النسب.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ما المقصود بالبصمة الوراثية؟ وهل تُعتبر دليلا من أدلّة إثبات النّسب؟</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نعم، تعتبر البصمة الوراثية دليلا من أدلّة إثبات النسب.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لأنها عبارة عن كشف آلي مطبوع مسجل عليه صورة واقعية حقيقية للصّفات الوراثية للإنسان (ADN)، وهي معاصرة وعلمية.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ولكن إذا لم تتيسّر الإمكانات لتعميم البصمة الوراثية فليس أمامنا بُدّ من الاستمرار في الوسائل الشّرعية المعروفة.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عرّف الكفالة لغة واصطلاحا، مع ذكر دليل مشروعيّتها من القرآن والسنّة.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لغة: الالتزام والضم.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شرعا: التزام حقّ ثابت في ذمة الغير مضمونة. وعرفها البعض بأنّها: التزام بضم اليتيم وضمان حقوقه.</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دليل مشروعيتها: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قوله تعالى: ﴿وَكَفَّلَهَا زَكَرِيَّا﴾ [آل عمران: 37]</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قوله صلى الله عليه وسلّم: "أنا وكافل اليتيم كهاتين، وأشار بالسبابة والوسطى وفرّج بينهما شيئا". رواه أحمد</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الدليل 2×0.5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120" w:line="108" w:lineRule="atLeast"/>
        <w:jc w:val="both"/>
        <w:rPr>
          <w:rFonts w:ascii="Simplified Arabic" w:hAnsi="Simplified Arabic" w:cs="Simplified Arabic" w:eastAsia="Simplified Arabic"/>
          <w:sz w:val="8"/>
          <w:szCs w:val="8"/>
          <w:rtl/>
        </w:rPr>
      </w:pP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11548B86-DF45-41E1-A42D-D058BE0369FC}"/>
    <w:embedBold r:id="rIdTajBold" w:fontKey="{9A54071A-5661-439C-AB44-ADDC34D44C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