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top w:val="single" w:sz="8" w:space="4" w:color="000000"/>
        </w:pBd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606"/>
        <w:gridCol w:w="1900"/>
        <w:gridCol w:w="3700"/>
      </w:tblGrid>
      <w:tr>
        <w:trPr>
          <w:jc w:val="center"/>
        </w:trPr>
        <w:tc>
          <w:tcPr>
            <w:tcW w:w="4606" w:type="dxa"/>
            <w:tcBorders>
              <w:top w:val="nil"/>
              <w:left w:val="nil"/>
              <w:bottom w:val="nil"/>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c>
          <w:tcPr>
            <w:tcW w:w="1900" w:type="dxa"/>
            <w:vMerge w:val="restart"/>
            <w:tcBorders>
              <w:top w:val="nil"/>
              <w:left w:val="nil"/>
              <w:bottom w:val="nil"/>
              <w:right w:val="nil"/>
            </w:tcBorders>
            <w:vAlign w:val="center"/>
          </w:tcPr>
          <w:p>
            <w:pPr>
              <w:bidi/>
              <w:spacing w:before="0" w:after="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813057" cy="684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13057" cy="684000"/>
                          </a:xfrm>
                          <a:prstGeom prst="rect"/>
                        </pic:spPr>
                      </pic:pic>
                    </a:graphicData>
                  </a:graphic>
                </wp:inline>
              </w:drawing>
            </w:r>
          </w:p>
        </w:tc>
        <w:tc>
          <w:tcPr>
            <w:tcW w:w="3700" w:type="dxa"/>
            <w:tcBorders>
              <w:top w:val="nil"/>
              <w:left w:val="nil"/>
              <w:bottom w:val="nil"/>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4606" w:type="dxa"/>
            <w:tcBorders>
              <w:top w:val="nil"/>
              <w:left w:val="nil"/>
              <w:bottom w:val="nil"/>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1900" w:type="dxa"/>
            <w:vMerge/>
            <w:tcBorders>
              <w:top w:val="nil"/>
              <w:left w:val="nil"/>
              <w:bottom w:val="nil"/>
              <w:right w:val="nil"/>
            </w:tcBorders>
            <w:vAlign w:val="top"/>
          </w:tcPr>
          <w:p>
            <w:pPr>
              <w:bidi/>
              <w:spacing w:before="0" w:after="0" w:line="518" w:lineRule="exact"/>
              <w:jc w:val="both"/>
              <w:rPr>
                <w:rFonts w:ascii="Simplified Arabic" w:hAnsi="Simplified Arabic" w:cs="Simplified Arabic" w:eastAsia="Simplified Arabic"/>
                <w:sz w:val="28"/>
                <w:szCs w:val="28"/>
                <w:rtl/>
              </w:rPr>
            </w:pPr>
          </w:p>
        </w:tc>
        <w:tc>
          <w:tcPr>
            <w:tcW w:w="3700" w:type="dxa"/>
            <w:tcBorders>
              <w:top w:val="nil"/>
              <w:left w:val="nil"/>
              <w:bottom w:val="nil"/>
              <w:right w:val="nil"/>
            </w:tcBorders>
            <w:vAlign w:val="top"/>
          </w:tcPr>
          <w:p>
            <w:pPr>
              <w:bidi/>
              <w:spacing w:before="0" w:after="0" w:line="666" w:lineRule="exact"/>
              <w:jc w:val="righ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w:t>
            </w:r>
            <w:r>
              <w:rPr>
                <w:rFonts w:ascii="Simplified Arabic" w:hAnsi="Simplified Arabic" w:cs="Simplified Arabic" w:eastAsia="Simplified Arabic"/>
                <w:b/>
                <w:bCs/>
                <w:sz w:val="36"/>
                <w:szCs w:val="36"/>
                <w:rtl/>
                <w:lang w:bidi="ar-DZ"/>
              </w:rPr>
              <w:t xml:space="preserve">2021</w:t>
            </w:r>
          </w:p>
        </w:tc>
      </w:tr>
      <w:tr>
        <w:trPr>
          <w:jc w:val="center"/>
        </w:trPr>
        <w:tc>
          <w:tcPr>
            <w:tcW w:w="6506" w:type="dxa"/>
            <w:gridSpan w:val="2"/>
            <w:tcBorders>
              <w:top w:val="nil"/>
              <w:left w:val="nil"/>
              <w:bottom w:val="single" w:sz="8" w:space="0" w:color="000000"/>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الشعبة: </w:t>
            </w:r>
            <w:r>
              <w:rPr>
                <w:rFonts w:ascii="Simplified Arabic" w:hAnsi="Simplified Arabic" w:cs="Simplified Arabic" w:eastAsia="Simplified Arabic"/>
                <w:b/>
                <w:bCs/>
                <w:sz w:val="28"/>
                <w:szCs w:val="28"/>
                <w:rtl/>
                <w:lang w:bidi="ar-DZ"/>
              </w:rPr>
              <w:t xml:space="preserve">علوم تجريبية، رياضيات، تقني رياضي</w:t>
            </w:r>
          </w:p>
        </w:tc>
        <w:tc>
          <w:tcPr>
            <w:tcW w:w="3700" w:type="dxa"/>
            <w:tcBorders>
              <w:top w:val="nil"/>
              <w:left w:val="nil"/>
              <w:bottom w:val="single" w:sz="8" w:space="0" w:color="000000"/>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bl>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666" w:lineRule="exact"/>
              <w:jc w:val="righ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w:t>
            </w:r>
            <w:r>
              <w:rPr>
                <w:rFonts w:ascii="Simplified Arabic" w:hAnsi="Simplified Arabic" w:cs="Simplified Arabic" w:eastAsia="Simplified Arabic"/>
                <w:b/>
                <w:bCs/>
                <w:sz w:val="36"/>
                <w:szCs w:val="36"/>
                <w:rtl/>
                <w:lang w:bidi="ar-DZ"/>
              </w:rPr>
              <w:t xml:space="preserve">03</w:t>
            </w:r>
            <w:r>
              <w:rPr>
                <w:rFonts w:ascii="Simplified Arabic" w:hAnsi="Simplified Arabic" w:cs="Simplified Arabic" w:eastAsia="Simplified Arabic"/>
                <w:b/>
                <w:bCs/>
                <w:sz w:val="28"/>
                <w:szCs w:val="28"/>
                <w:rtl/>
                <w:lang w:bidi="ar-DZ"/>
              </w:rPr>
              <w:t xml:space="preserve"> سا و</w:t>
            </w:r>
            <w:r>
              <w:rPr>
                <w:rFonts w:ascii="Simplified Arabic" w:hAnsi="Simplified Arabic" w:cs="Simplified Arabic" w:eastAsia="Simplified Arabic"/>
                <w:b/>
                <w:bCs/>
                <w:sz w:val="36"/>
                <w:szCs w:val="36"/>
                <w:rtl/>
                <w:lang w:bidi="ar-DZ"/>
              </w:rPr>
              <w:t xml:space="preserve">30</w:t>
            </w:r>
            <w:r>
              <w:rPr>
                <w:rFonts w:ascii="Simplified Arabic" w:hAnsi="Simplified Arabic" w:cs="Simplified Arabic" w:eastAsia="Simplified Arabic"/>
                <w:b/>
                <w:bCs/>
                <w:sz w:val="28"/>
                <w:szCs w:val="28"/>
                <w:rtl/>
                <w:lang w:bidi="ar-DZ"/>
              </w:rPr>
              <w:t xml:space="preserve"> د</w:t>
            </w:r>
          </w:p>
        </w:tc>
      </w:tr>
    </w:tbl>
    <w:p>
      <w:pPr>
        <w:bidi/>
        <w:spacing w:before="120" w:after="60" w:line="5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على المترشح أن يختار أحد الموضوعين الآتيين:</w:t>
      </w:r>
    </w:p>
    <w:p>
      <w:pPr>
        <w:bidi/>
        <w:spacing w:before="0" w:after="80" w:line="5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لقد كان لتعاظم </w:t>
      </w:r>
      <w:r>
        <w:rPr>
          <w:rFonts w:ascii="Simplified Arabic" w:hAnsi="Simplified Arabic" w:cs="Simplified Arabic" w:eastAsia="Simplified Arabic"/>
          <w:b/>
          <w:bCs/>
          <w:sz w:val="28"/>
          <w:szCs w:val="28"/>
          <w:u w:val="single"/>
          <w:rtl/>
          <w:lang w:bidi="ar-DZ"/>
        </w:rPr>
        <w:t xml:space="preserve">المدّ الشيوعي</w:t>
      </w:r>
      <w:r>
        <w:rPr>
          <w:rFonts w:ascii="Simplified Arabic" w:hAnsi="Simplified Arabic" w:cs="Simplified Arabic" w:eastAsia="Simplified Arabic"/>
          <w:sz w:val="28"/>
          <w:szCs w:val="28"/>
          <w:rtl/>
          <w:lang w:bidi="ar-DZ"/>
        </w:rPr>
        <w:t xml:space="preserve"> في أوربا أثر كبير على السياسة الخارجية الأمريكية لفترة ما بعد الحرب، فالمدّ الشيوعي يشكّل خطرا لا بد من مقاومته... لذا اتخذت الولايات المتحدة الأمريكية إجراءات عدّة لمقاومته باتباع سياسة المساعدات الاقتصادية التي برزت من خلال </w:t>
      </w:r>
      <w:r>
        <w:rPr>
          <w:rFonts w:ascii="Simplified Arabic" w:hAnsi="Simplified Arabic" w:cs="Simplified Arabic" w:eastAsia="Simplified Arabic"/>
          <w:b/>
          <w:bCs/>
          <w:sz w:val="28"/>
          <w:szCs w:val="28"/>
          <w:u w:val="single"/>
          <w:rtl/>
          <w:lang w:bidi="ar-DZ"/>
        </w:rPr>
        <w:t xml:space="preserve">مشروع مارشال</w:t>
      </w:r>
      <w:r>
        <w:rPr>
          <w:rFonts w:ascii="Simplified Arabic" w:hAnsi="Simplified Arabic" w:cs="Simplified Arabic" w:eastAsia="Simplified Arabic"/>
          <w:sz w:val="28"/>
          <w:szCs w:val="28"/>
          <w:rtl/>
          <w:lang w:bidi="ar-DZ"/>
        </w:rPr>
        <w:t xml:space="preserve"> وإقامة تحالفات عسكرية، واتضح ذلك جليا في </w:t>
      </w:r>
      <w:r>
        <w:rPr>
          <w:rFonts w:ascii="Simplified Arabic" w:hAnsi="Simplified Arabic" w:cs="Simplified Arabic" w:eastAsia="Simplified Arabic"/>
          <w:b/>
          <w:bCs/>
          <w:sz w:val="28"/>
          <w:szCs w:val="28"/>
          <w:u w:val="single"/>
          <w:rtl/>
          <w:lang w:bidi="ar-DZ"/>
        </w:rPr>
        <w:t xml:space="preserve">حلف شمال الأطلسي</w:t>
      </w:r>
      <w:r>
        <w:rPr>
          <w:rFonts w:ascii="Simplified Arabic" w:hAnsi="Simplified Arabic" w:cs="Simplified Arabic" w:eastAsia="Simplified Arabic"/>
          <w:sz w:val="28"/>
          <w:szCs w:val="28"/>
          <w:rtl/>
          <w:lang w:bidi="ar-DZ"/>
        </w:rPr>
        <w:t xml:space="preserve">...".</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د/ ايناس سعدي عبد الله. السياسة الأمريكية تجاه الاتحاد السوفياتي 1950/1945. صفحة: 124.</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0" w:line="518" w:lineRule="exact"/>
        <w:ind w:left="2381"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ديدوش مراد    – نيكيتا خروتشوف    – هاري ترومان</w:t>
      </w: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  بالتّوقيع على اتفاقية وقف اطلاق النّار في عام 1962، بدأت ملامح قيام الدولة الجزائرية تتضح، ولإعادة بنائها سارع قادة الثّورة لعقد مؤتمر طرابلس الذي حدّد الاختيارات الكبرى للجزائر المستقلة.</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الظروف السياسية التي قامت فيها الدولة الجزائرية.</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الاختيارات السياسية والاقتصادية التي أقرّها مؤتمر طرابلس لإعادة بناء الدولة الجزائرية.</w:t>
      </w:r>
    </w:p>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ind w:left="396" w:right="0" w:hanging="396"/>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من المتعارف عليه اقتصاديا، أنّ التدفقات الدولية </w:t>
      </w:r>
      <w:r>
        <w:rPr>
          <w:rFonts w:ascii="Simplified Arabic" w:hAnsi="Simplified Arabic" w:cs="Simplified Arabic" w:eastAsia="Simplified Arabic"/>
          <w:b/>
          <w:bCs/>
          <w:sz w:val="28"/>
          <w:szCs w:val="28"/>
          <w:rtl/>
          <w:lang w:bidi="ar-DZ"/>
        </w:rPr>
        <w:t xml:space="preserve">ل</w:t>
      </w:r>
      <w:r>
        <w:rPr>
          <w:rFonts w:ascii="Simplified Arabic" w:hAnsi="Simplified Arabic" w:cs="Simplified Arabic" w:eastAsia="Simplified Arabic"/>
          <w:b/>
          <w:bCs/>
          <w:sz w:val="28"/>
          <w:szCs w:val="28"/>
          <w:u w:val="single"/>
          <w:rtl/>
          <w:lang w:bidi="ar-DZ"/>
        </w:rPr>
        <w:t xml:space="preserve">رؤوس الأموال</w:t>
      </w:r>
      <w:r>
        <w:rPr>
          <w:rFonts w:ascii="Simplified Arabic" w:hAnsi="Simplified Arabic" w:cs="Simplified Arabic" w:eastAsia="Simplified Arabic"/>
          <w:sz w:val="28"/>
          <w:szCs w:val="28"/>
          <w:rtl/>
          <w:lang w:bidi="ar-DZ"/>
        </w:rPr>
        <w:t xml:space="preserve"> تساهم في دفع عجلة </w:t>
      </w:r>
      <w:r>
        <w:rPr>
          <w:rFonts w:ascii="Simplified Arabic" w:hAnsi="Simplified Arabic" w:cs="Simplified Arabic" w:eastAsia="Simplified Arabic"/>
          <w:b/>
          <w:bCs/>
          <w:sz w:val="28"/>
          <w:szCs w:val="28"/>
          <w:u w:val="single"/>
          <w:rtl/>
          <w:lang w:bidi="ar-DZ"/>
        </w:rPr>
        <w:t xml:space="preserve">التّنمية</w:t>
      </w:r>
      <w:r>
        <w:rPr>
          <w:rFonts w:ascii="Simplified Arabic" w:hAnsi="Simplified Arabic" w:cs="Simplified Arabic" w:eastAsia="Simplified Arabic"/>
          <w:sz w:val="28"/>
          <w:szCs w:val="28"/>
          <w:rtl/>
          <w:lang w:bidi="ar-DZ"/>
        </w:rPr>
        <w:t xml:space="preserve"> الاقتصادية وبالرغم من صحة هذه العلاقة على وجه العموم في كثير من </w:t>
      </w:r>
      <w:r>
        <w:rPr>
          <w:rFonts w:ascii="Simplified Arabic" w:hAnsi="Simplified Arabic" w:cs="Simplified Arabic" w:eastAsia="Simplified Arabic"/>
          <w:b/>
          <w:bCs/>
          <w:sz w:val="28"/>
          <w:szCs w:val="28"/>
          <w:u w:val="single"/>
          <w:rtl/>
          <w:lang w:bidi="ar-DZ"/>
        </w:rPr>
        <w:t xml:space="preserve">الدول المتقدمة</w:t>
      </w:r>
      <w:r>
        <w:rPr>
          <w:rFonts w:ascii="Simplified Arabic" w:hAnsi="Simplified Arabic" w:cs="Simplified Arabic" w:eastAsia="Simplified Arabic"/>
          <w:sz w:val="28"/>
          <w:szCs w:val="28"/>
          <w:rtl/>
          <w:lang w:bidi="ar-DZ"/>
        </w:rPr>
        <w:t xml:space="preserve">، وكذا بعض الدول النّاشئة، إلاّ أنّ الدراسات التطبيقية الحديثة التي أجريت في عدد من الدول النّامية تشير إلى أنّ هذه العلاقة ليست مستقرة، وقد تختلف من اقتصاد إلى آخر...".</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أ/د/محفوظ جبار، د/سامية عمر.التدفقات الدولية لرؤوس الأموال.الصفحة:137.</w:t>
      </w:r>
    </w:p>
    <w:p>
      <w:pPr>
        <w:bidi/>
        <w:spacing w:before="6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17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نسبة استخدام الروبوتات الصناعية في العالم عام: 2018.</w:t>
      </w:r>
    </w:p>
    <w:tbl>
      <w:tblPr>
        <w:bidiVisual/>
        <w:tblW w:w="847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502"/>
        <w:gridCol w:w="1247"/>
        <w:gridCol w:w="1304"/>
        <w:gridCol w:w="1247"/>
        <w:gridCol w:w="1247"/>
        <w:gridCol w:w="1927"/>
      </w:tblGrid>
      <w:tr>
        <w:trPr>
          <w:trHeight w:val="481" w:hRule="atLeast"/>
          <w:jc w:val="center"/>
        </w:trPr>
        <w:tc>
          <w:tcPr>
            <w:tcW w:w="1502"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المنطقة</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افريقيا</w:t>
            </w:r>
          </w:p>
        </w:tc>
        <w:tc>
          <w:tcPr>
            <w:tcW w:w="130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أمريكا</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أوربا</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آسيا</w:t>
            </w:r>
          </w:p>
        </w:tc>
        <w:tc>
          <w:tcPr>
            <w:tcW w:w="192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بقية مناطق العالم</w:t>
            </w:r>
          </w:p>
        </w:tc>
      </w:tr>
      <w:tr>
        <w:trPr>
          <w:trHeight w:val="481" w:hRule="atLeast"/>
          <w:jc w:val="center"/>
        </w:trPr>
        <w:tc>
          <w:tcPr>
            <w:tcW w:w="1502"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النسبة %</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2.8%</w:t>
            </w:r>
          </w:p>
        </w:tc>
        <w:tc>
          <w:tcPr>
            <w:tcW w:w="130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13.6%</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17.3%</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65%</w:t>
            </w:r>
          </w:p>
        </w:tc>
        <w:tc>
          <w:tcPr>
            <w:tcW w:w="192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1.3%</w:t>
            </w:r>
          </w:p>
        </w:tc>
      </w:tr>
    </w:tbl>
    <w:p>
      <w:pPr>
        <w:bidi/>
        <w:spacing w:before="0" w:after="0" w:line="407" w:lineRule="exact"/>
        <w:ind w:left="1644" w:right="0"/>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المصدر: تقرير صندوق النقد الدولي عام: 2019.</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مثّل المعطيات الإحصائية الواردة في الجدول بدائرة نسبية. </w:t>
      </w:r>
      <w:r>
        <w:rPr>
          <w:rFonts w:ascii="Simplified Arabic" w:hAnsi="Simplified Arabic" w:cs="Simplified Arabic" w:eastAsia="Simplified Arabic"/>
          <w:b/>
          <w:bCs/>
          <w:sz w:val="28"/>
          <w:szCs w:val="28"/>
          <w:rtl/>
          <w:lang w:bidi="ar-DZ"/>
        </w:rPr>
        <w:t xml:space="preserve">نق= 4 سم.</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  تظافرت عوامل مختلفة جعلت من إقليم الرّاين أحد أهم الأقاليم الاقتصادية في العالم، حيث أصبح يحتل مكانة هامة في اقتصاد الاتحاد الأوربي.</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مكانة إقليم الرّاين في اقتصاد الاتحاد الأوربي.</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العوامل التي ساعدت إقليم الرّاين على تحقيق تلك المكانة.</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407" w:lineRule="exact"/>
        <w:ind w:left="8278"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انتهى الموضوع الأول</w:t>
      </w:r>
    </w:p>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60" w:line="5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عرفت شوارع العاصمة والعديد من المدن الجزائرية الأخرى في يوم 1960/12/11 نزول الشعب الجزائري في </w:t>
      </w:r>
      <w:r>
        <w:rPr>
          <w:rFonts w:ascii="Simplified Arabic" w:hAnsi="Simplified Arabic" w:cs="Simplified Arabic" w:eastAsia="Simplified Arabic"/>
          <w:b/>
          <w:bCs/>
          <w:sz w:val="28"/>
          <w:szCs w:val="28"/>
          <w:u w:val="single"/>
          <w:rtl/>
          <w:lang w:bidi="ar-DZ"/>
        </w:rPr>
        <w:t xml:space="preserve">مظاهرات</w:t>
      </w:r>
      <w:r>
        <w:rPr>
          <w:rFonts w:ascii="Simplified Arabic" w:hAnsi="Simplified Arabic" w:cs="Simplified Arabic" w:eastAsia="Simplified Arabic"/>
          <w:sz w:val="28"/>
          <w:szCs w:val="28"/>
          <w:rtl/>
          <w:lang w:bidi="ar-DZ"/>
        </w:rPr>
        <w:t xml:space="preserve"> للإعلان عن رغبته في نيل الاستقلال وتدعيمه المطلق </w:t>
      </w:r>
      <w:r>
        <w:rPr>
          <w:rFonts w:ascii="Simplified Arabic" w:hAnsi="Simplified Arabic" w:cs="Simplified Arabic" w:eastAsia="Simplified Arabic"/>
          <w:b/>
          <w:bCs/>
          <w:sz w:val="28"/>
          <w:szCs w:val="28"/>
          <w:u w:val="single"/>
          <w:rtl/>
          <w:lang w:bidi="ar-DZ"/>
        </w:rPr>
        <w:t xml:space="preserve">للكفاح المسلح</w:t>
      </w:r>
      <w:r>
        <w:rPr>
          <w:rFonts w:ascii="Simplified Arabic" w:hAnsi="Simplified Arabic" w:cs="Simplified Arabic" w:eastAsia="Simplified Arabic"/>
          <w:sz w:val="28"/>
          <w:szCs w:val="28"/>
          <w:rtl/>
          <w:lang w:bidi="ar-DZ"/>
        </w:rPr>
        <w:t xml:space="preserve">... كما يمثّل هذا اليوم محطة بارزة في تاريخنا المعاصر، ومنعطفا حاسما في استرجاع </w:t>
      </w:r>
      <w:r>
        <w:rPr>
          <w:rFonts w:ascii="Simplified Arabic" w:hAnsi="Simplified Arabic" w:cs="Simplified Arabic" w:eastAsia="Simplified Arabic"/>
          <w:b/>
          <w:bCs/>
          <w:sz w:val="28"/>
          <w:szCs w:val="28"/>
          <w:u w:val="single"/>
          <w:rtl/>
          <w:lang w:bidi="ar-DZ"/>
        </w:rPr>
        <w:t xml:space="preserve">السيادة الوطنية</w:t>
      </w:r>
      <w:r>
        <w:rPr>
          <w:rFonts w:ascii="Simplified Arabic" w:hAnsi="Simplified Arabic" w:cs="Simplified Arabic" w:eastAsia="Simplified Arabic"/>
          <w:sz w:val="28"/>
          <w:szCs w:val="28"/>
          <w:rtl/>
          <w:lang w:bidi="ar-DZ"/>
        </w:rPr>
        <w:t xml:space="preserve">".</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الكتاب المدرسي. مادة التاريخ. السنة الثالثة ثانوي. صفحة: 202.</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453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268"/>
        <w:gridCol w:w="2268"/>
      </w:tblGrid>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1955/05/14</w:t>
            </w:r>
          </w:p>
        </w:tc>
      </w:tr>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1956/08/20</w:t>
            </w:r>
          </w:p>
        </w:tc>
      </w:tr>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إعلان مبدأ ترومان</w:t>
            </w: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p>
        </w:tc>
      </w:tr>
    </w:tbl>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  وضعت نهاية المواجهة العسكرية الثانية معايير جديدة تشكّل عليها العالم، أدّت إلى انقسامه إلى معسكرين مختلفين ايديولوجيا، غربي تقوده الولايات المتحدة الأمريكية، وشرقي يقوده الاتحاد السوفياتي، وتميّزت العلاقات بينهما بشدة التوتر.</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معايير تشكّل العالم التاريخية والاقتصادية بعد المواجهة العسكرية الثانية.</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أسباب التّوتر بين المعسكرين.</w:t>
      </w:r>
    </w:p>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لقد أدّت سرعة التقدم التكنولوجي في العقود الماضية...إلى الاستفادة من موارد الإنتاج البعيدة، حيث مكّنتها من خدمة أسواق متزايدة الاتساع... وهذا الاتجاه نحو </w:t>
      </w:r>
      <w:r>
        <w:rPr>
          <w:rFonts w:ascii="Simplified Arabic" w:hAnsi="Simplified Arabic" w:cs="Simplified Arabic" w:eastAsia="Simplified Arabic"/>
          <w:b/>
          <w:bCs/>
          <w:sz w:val="28"/>
          <w:szCs w:val="28"/>
          <w:u w:val="single"/>
          <w:rtl/>
          <w:lang w:bidi="ar-DZ"/>
        </w:rPr>
        <w:t xml:space="preserve">العولمة</w:t>
      </w:r>
      <w:r>
        <w:rPr>
          <w:rFonts w:ascii="Simplified Arabic" w:hAnsi="Simplified Arabic" w:cs="Simplified Arabic" w:eastAsia="Simplified Arabic"/>
          <w:sz w:val="28"/>
          <w:szCs w:val="28"/>
          <w:rtl/>
          <w:lang w:bidi="ar-DZ"/>
        </w:rPr>
        <w:t xml:space="preserve"> الذي عززته سياسات </w:t>
      </w:r>
      <w:r>
        <w:rPr>
          <w:rFonts w:ascii="Simplified Arabic" w:hAnsi="Simplified Arabic" w:cs="Simplified Arabic" w:eastAsia="Simplified Arabic"/>
          <w:b/>
          <w:bCs/>
          <w:sz w:val="28"/>
          <w:szCs w:val="28"/>
          <w:u w:val="single"/>
          <w:rtl/>
          <w:lang w:bidi="ar-DZ"/>
        </w:rPr>
        <w:t xml:space="preserve">تحرير التجارة</w:t>
      </w:r>
      <w:r>
        <w:rPr>
          <w:rFonts w:ascii="Simplified Arabic" w:hAnsi="Simplified Arabic" w:cs="Simplified Arabic" w:eastAsia="Simplified Arabic"/>
          <w:sz w:val="28"/>
          <w:szCs w:val="28"/>
          <w:rtl/>
          <w:lang w:bidi="ar-DZ"/>
        </w:rPr>
        <w:t xml:space="preserve">... ألهب النّمو المُطَّرِد </w:t>
      </w:r>
      <w:r>
        <w:rPr>
          <w:rFonts w:ascii="Simplified Arabic" w:hAnsi="Simplified Arabic" w:cs="Simplified Arabic" w:eastAsia="Simplified Arabic"/>
          <w:b/>
          <w:bCs/>
          <w:sz w:val="28"/>
          <w:szCs w:val="28"/>
          <w:u w:val="single"/>
          <w:rtl/>
          <w:lang w:bidi="ar-DZ"/>
        </w:rPr>
        <w:t xml:space="preserve">للاستثمار</w:t>
      </w:r>
      <w:r>
        <w:rPr>
          <w:rFonts w:ascii="Simplified Arabic" w:hAnsi="Simplified Arabic" w:cs="Simplified Arabic" w:eastAsia="Simplified Arabic"/>
          <w:sz w:val="28"/>
          <w:szCs w:val="28"/>
          <w:rtl/>
          <w:lang w:bidi="ar-DZ"/>
        </w:rPr>
        <w:t xml:space="preserve"> والتجارة في السلع والخدمات على الصعيد الدولي...".</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دليل احصائيات التجارة الدولية في الخدمات. السلسلة: ميم. صفحة: 07. العدد: 86.</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نسب أهم الشركاء التجاريين لدول شرق وجنوب شرق آسيا (الآسيان) عام: 2017.</w:t>
      </w:r>
    </w:p>
    <w:tbl>
      <w:tblPr>
        <w:bidiVisual/>
        <w:tblW w:w="91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077"/>
        <w:gridCol w:w="1871"/>
        <w:gridCol w:w="1247"/>
        <w:gridCol w:w="1644"/>
        <w:gridCol w:w="1701"/>
        <w:gridCol w:w="1644"/>
      </w:tblGrid>
      <w:tr>
        <w:trPr>
          <w:jc w:val="center"/>
        </w:trPr>
        <w:tc>
          <w:tcPr>
            <w:tcW w:w="107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المنطقة</w:t>
            </w:r>
          </w:p>
        </w:tc>
        <w:tc>
          <w:tcPr>
            <w:tcW w:w="187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بين دول الآسيان</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الاتحاد الأوربي</w:t>
            </w:r>
          </w:p>
        </w:tc>
        <w:tc>
          <w:tcPr>
            <w:tcW w:w="170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و.م. الأمريكية</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r>
      <w:tr>
        <w:trPr>
          <w:jc w:val="center"/>
        </w:trPr>
        <w:tc>
          <w:tcPr>
            <w:tcW w:w="107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النسبة %</w:t>
            </w:r>
          </w:p>
        </w:tc>
        <w:tc>
          <w:tcPr>
            <w:tcW w:w="187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23 %</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17 %</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10 %</w:t>
            </w:r>
          </w:p>
        </w:tc>
        <w:tc>
          <w:tcPr>
            <w:tcW w:w="170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9 %</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9 %</w:t>
            </w:r>
          </w:p>
        </w:tc>
      </w:tr>
    </w:tbl>
    <w:p>
      <w:pPr>
        <w:bidi/>
        <w:spacing w:before="80" w:after="0" w:line="407" w:lineRule="exact"/>
        <w:ind w:left="283" w:right="0"/>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المصدر: صندوق النقد الدولي. جنوب شرق آسيا. التمويل والتنمية. صفحة:35 / سبتمبر 2018.</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المعطيات الإحصائية الواردة في الجدول.</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  تخضع أسعار القمح في الأسواق العالمية لمجموعة من العوامل، ولأهميته الاستراتيجية، تلعب الدول المنتجة له دورا حاسما في التحكم فيها.</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0" w:line="51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أهمية القمح.</w:t>
      </w:r>
    </w:p>
    <w:p>
      <w:pPr>
        <w:bidi/>
        <w:spacing w:before="0" w:after="0" w:line="51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العوامل المتحكمة في أسعاره.</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407" w:lineRule="exact"/>
        <w:ind w:left="8278"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BA53E634-9041-466B-86A0-EC7C244AD0D8}"/>
    <w:embedBold r:id="rIdTajBold" w:fontKey="{AFF1466B-FD35-4A6D-A99D-83AEE7F9BE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4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4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4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