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20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7087"/>
        <w:gridCol w:w="3118"/>
      </w:tblGrid>
      <w:tr>
        <w:trPr>
          <w:jc w:val="center"/>
        </w:trPr>
        <w:tc>
          <w:tcPr>
            <w:tcW w:w="7087" w:type="dxa"/>
            <w:vAlign w:val="top"/>
          </w:tcPr>
          <w:p>
            <w:pPr>
              <w:bidi/>
              <w:spacing w:before="0" w:after="0" w:line="264" w:lineRule="exact"/>
              <w:jc w:val="left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الإجابة النموذجية وسلالم التنقيط لموضوع امتحان: البكـــــالوريا</w:t>
            </w:r>
          </w:p>
        </w:tc>
        <w:tc>
          <w:tcPr>
            <w:tcW w:w="3118" w:type="dxa"/>
            <w:vAlign w:val="top"/>
          </w:tcPr>
          <w:p>
            <w:pPr>
              <w:bidi/>
              <w:spacing w:before="0" w:after="0" w:line="264" w:lineRule="exact"/>
              <w:jc w:val="left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دورة: جوان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rtl/>
                <w:lang w:bidi="ar-DZ"/>
              </w:rPr>
              <w:t xml:space="preserve">2012</w:t>
            </w:r>
          </w:p>
        </w:tc>
      </w:tr>
      <w:tr>
        <w:trPr>
          <w:jc w:val="center"/>
        </w:trPr>
        <w:tc>
          <w:tcPr>
            <w:tcW w:w="7087" w:type="dxa"/>
            <w:vAlign w:val="top"/>
          </w:tcPr>
          <w:p>
            <w:pPr>
              <w:bidi/>
              <w:spacing w:before="0" w:after="0" w:line="264" w:lineRule="exact"/>
              <w:jc w:val="left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لمادة: التاريخ و الجغرافيا   لشعبة: العلوم تجريبية ، رياضيات ، تقني رياضي</w:t>
            </w:r>
          </w:p>
        </w:tc>
        <w:tc>
          <w:tcPr>
            <w:tcW w:w="3118" w:type="dxa"/>
            <w:vAlign w:val="top"/>
          </w:tcPr>
          <w:p>
            <w:pPr>
              <w:bidi/>
              <w:spacing w:before="0" w:after="0" w:line="264" w:lineRule="exact"/>
              <w:jc w:val="left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المدة: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rtl/>
                <w:lang w:bidi="ar-DZ"/>
              </w:rPr>
              <w:t xml:space="preserve">03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 ساعات و نصف</w:t>
            </w:r>
          </w:p>
        </w:tc>
      </w:tr>
    </w:tbl>
    <w:p>
      <w:pPr>
        <w:bidi/>
        <w:spacing w:before="0" w:after="60" w:line="144" w:lineRule="exact"/>
        <w:jc w:val="both"/>
        <w:rPr>
          <w:rFonts w:ascii="Simplified Arabic" w:hAnsi="Simplified Arabic" w:cs="Simplified Arabic" w:eastAsia="Simplified Arabic"/>
          <w:sz w:val="12"/>
          <w:szCs w:val="12"/>
          <w:rtl/>
        </w:rPr>
      </w:pPr>
    </w:p>
    <w:tbl>
      <w:tblPr>
        <w:bidiVisual/>
        <w:tblW w:w="986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7711"/>
        <w:gridCol w:w="1077"/>
        <w:gridCol w:w="1077"/>
      </w:tblGrid>
      <w:tr>
        <w:trPr>
          <w:tblHeader/>
          <w:jc w:val="center"/>
        </w:trPr>
        <w:tc>
          <w:tcPr>
            <w:tcW w:w="7711" w:type="dxa"/>
            <w:vMerge w:val="restart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154" w:type="dxa"/>
            <w:gridSpan w:val="2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7711" w:type="dxa"/>
            <w:vMerge/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77" w:type="dxa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7711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الموضوع الأول</w:t>
            </w: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التاريخ</w:t>
            </w: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الأول 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( 06 نقاط )</w:t>
            </w:r>
          </w:p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1– مفاهيم المصطلحات :</w:t>
            </w:r>
          </w:p>
        </w:tc>
        <w:tc>
          <w:tcPr>
            <w:tcW w:w="1077" w:type="dxa"/>
            <w:tcBorders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*– مؤتمر طرابلس: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ثاني مؤتمر للثورة الجزائرية بعد مؤتمر الصومام ، انعقد بطرابلس الليبية من 27 ماي إلى 04 جوان 1962 حضره معظم قادة الثورة من الحكومة المؤقتة و قادة الجيش و حدد معالم الدولة الجزائرية المستقلة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77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*– السيادة الوطنية: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هي السلطة الفعلية للدولة على إقليمها و ما فيه من سكان و موارد و الحرية في المواقف و الاختيارات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*– اتفاقية إيفيان: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وقعت في 18 مارس 1962 بمدينة ايفيان بين الجانبين الجزائري و الفرنسي احتوت على العديد من النقاط أهمها وقف إطلاق النار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التعريف بالشخصيات: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*– هاري ترومان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( 1884 – 1972 ): رئيس و م أ من 1945 إلى 1952 صاحب الإذن بضرب اليابان بالقنبلة الذرية ، صاحب المبدأ الذي حمل اسمه ، مؤيد للحركة الصهيونية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*– مصطفى بن بولعيد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( 1917 – 1956 ): مناضل في حزب الشعب ، المنظمة الخاصة ، من مؤسسي اللجنة الثورية للوحدة و العمل ، أحد مفجري الثورة و قائد المنطقة الأولى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*– جوزيف بروز تيتو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( 1892 – 1980 ): سياسي يوغسلافي رئيس جمهورية يوغسلافيا و من مؤسسي حركة عدم الانحياز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4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3– جدول الأحداث :</w:t>
            </w:r>
          </w:p>
          <w:tbl>
            <w:tblPr>
              <w:bidiVisual/>
              <w:tblW w:w="7314" w:type="dxa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left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4139"/>
              <w:gridCol w:w="3175"/>
            </w:tblGrid>
            <w:tr>
              <w:trPr>
                <w:jc w:val="center"/>
              </w:trPr>
              <w:tc>
                <w:tcPr>
                  <w:tcW w:w="4139" w:type="dxa"/>
                  <w:vAlign w:val="top"/>
                </w:tcPr>
                <w:p>
                  <w:pPr>
                    <w:bidi/>
                    <w:spacing w:before="0" w:after="0" w:line="312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الحـــــدث</w:t>
                  </w:r>
                </w:p>
              </w:tc>
              <w:tc>
                <w:tcPr>
                  <w:tcW w:w="3175" w:type="dxa"/>
                  <w:vAlign w:val="top"/>
                </w:tcPr>
                <w:p>
                  <w:pPr>
                    <w:bidi/>
                    <w:spacing w:before="0" w:after="0" w:line="312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تاريخـــــه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39" w:type="dxa"/>
                  <w:vAlign w:val="top"/>
                </w:tcPr>
                <w:p>
                  <w:pPr>
                    <w:bidi/>
                    <w:spacing w:before="0" w:after="0" w:line="312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تأسيس حلف شمال الأطلسي</w:t>
                  </w:r>
                </w:p>
              </w:tc>
              <w:tc>
                <w:tcPr>
                  <w:tcW w:w="3175" w:type="dxa"/>
                  <w:vAlign w:val="top"/>
                </w:tcPr>
                <w:p>
                  <w:pPr>
                    <w:bidi/>
                    <w:spacing w:before="0" w:after="0" w:line="312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1949-04-04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39" w:type="dxa"/>
                  <w:vAlign w:val="top"/>
                </w:tcPr>
                <w:p>
                  <w:pPr>
                    <w:bidi/>
                    <w:spacing w:before="0" w:after="0" w:line="312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سلم الشجعان</w:t>
                  </w:r>
                </w:p>
              </w:tc>
              <w:tc>
                <w:tcPr>
                  <w:tcW w:w="3175" w:type="dxa"/>
                  <w:vAlign w:val="top"/>
                </w:tcPr>
                <w:p>
                  <w:pPr>
                    <w:bidi/>
                    <w:spacing w:before="0" w:after="0" w:line="312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1958 – 10 – 23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39" w:type="dxa"/>
                  <w:vAlign w:val="top"/>
                </w:tcPr>
                <w:p>
                  <w:pPr>
                    <w:bidi/>
                    <w:spacing w:before="0" w:after="0" w:line="312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المؤتمر التأسيسي لحركة عدم الانحياز</w:t>
                  </w:r>
                </w:p>
              </w:tc>
              <w:tc>
                <w:tcPr>
                  <w:tcW w:w="3175" w:type="dxa"/>
                  <w:vAlign w:val="top"/>
                </w:tcPr>
                <w:p>
                  <w:pPr>
                    <w:bidi/>
                    <w:spacing w:before="0" w:after="0" w:line="312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1961-09-01</w:t>
                  </w:r>
                </w:p>
              </w:tc>
            </w:tr>
          </w:tbl>
          <w:p>
            <w:pPr>
              <w:bidi/>
              <w:spacing w:before="0" w:after="0" w:line="48" w:lineRule="exact"/>
              <w:jc w:val="both"/>
              <w:rPr>
                <w:rFonts w:ascii="Simplified Arabic" w:hAnsi="Simplified Arabic" w:cs="Simplified Arabic" w:eastAsia="Simplified Arabic"/>
                <w:sz w:val="4"/>
                <w:szCs w:val="4"/>
                <w:rtl/>
              </w:rPr>
            </w:pP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tcBorders>
              <w:top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tcBorders>
              <w:top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</w:tbl>
    <w:p>
      <w:pPr>
        <w:pageBreakBefore/>
        <w:bidi/>
        <w:spacing w:before="0" w:after="0" w:line="96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986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7711"/>
        <w:gridCol w:w="1077"/>
        <w:gridCol w:w="1077"/>
      </w:tblGrid>
      <w:tr>
        <w:trPr>
          <w:tblHeader/>
          <w:jc w:val="center"/>
        </w:trPr>
        <w:tc>
          <w:tcPr>
            <w:tcW w:w="7711" w:type="dxa"/>
            <w:vMerge w:val="restart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154" w:type="dxa"/>
            <w:gridSpan w:val="2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7711" w:type="dxa"/>
            <w:vMerge/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77" w:type="dxa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7711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الجزء الثاني : ( 04 نقاط )</w:t>
            </w:r>
          </w:p>
        </w:tc>
        <w:tc>
          <w:tcPr>
            <w:tcW w:w="1077" w:type="dxa"/>
            <w:tcBorders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 w:val="restart"/>
            <w:tcBorders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المقدمة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: العالم في ظل القطبية الثنائية 1945 – 1989 و دور حركة عدم الانحياز</w:t>
            </w: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العرض 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1– أسباب التوتر بين المعسكرين 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الاختلاف الأيديولوجي بين الرأسمالية و الاشتراكية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تصادم مصالح المعسكرين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النظرة التوسعية للإتحاد السوفياتي و رغبته في نشر الشيوعية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خروج و م أ  من العزلة السياسية و تصميمها على تطويق الشيوعية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 – دور حركة عدم الانحياز في التخفيف من حدة الصراع 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محاربة سياسة الأحلاف العسكرية ( حلف جنوب شرق آسيا و حلف بغداد )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محاربة القواعد العسكرية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انتهاج سياسة الحياد الايجابي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مساندة حركات التحرر في العالم الثالث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الخاتمة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: نهاية الحرب الباردة لا يعني انتهاء دور حركة عدم الانحياز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الجغرافيا :</w:t>
            </w: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الجزء الأول : ( 06 نقاط )</w:t>
            </w:r>
          </w:p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مفهوم المصطلحات: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*– الناتج الداخلي الخام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:هو الثروة المنتجة في دولة ما داخليا خلال سنة واحدة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*– مؤشرات: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جمع مؤشر و هو رقم إحصائي يمثل ظاهرة معينة في فترة زمنية محددة لقياس متغيرات كمية أو نوعية اقتصادية ، اجتماعية و ثقافية ( إيجابي – سلبي )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*– الانترنيت: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هي عبارة عن شبكة حاسوبية عملاقة تتكون من شبكات أصغر بحيث يمكن لأي شخص متصل بها أن يتجول في هذه الشبكة و أن يحصل على المعلومات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التمثيل البياني:</w:t>
            </w:r>
          </w:p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أ–  رسم بياني: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68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• الانجاز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68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• المفتاح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68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• العنوان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68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• المقياس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ب– التعيين على الخريطة 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68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• الانجاز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68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• العنوان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68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• المفتاح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tcBorders>
              <w:top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tcBorders>
              <w:top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</w:tbl>
    <w:p>
      <w:pPr>
        <w:pageBreakBefore/>
        <w:bidi/>
        <w:spacing w:before="0" w:after="0" w:line="96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drawing>
          <wp:inline xmlns:a="http://schemas.openxmlformats.org/drawingml/2006/main" xmlns:pic="http://schemas.openxmlformats.org/drawingml/2006/picture">
            <wp:extent cx="5580000" cy="4325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25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drawing>
          <wp:inline xmlns:a="http://schemas.openxmlformats.org/drawingml/2006/main" xmlns:pic="http://schemas.openxmlformats.org/drawingml/2006/picture">
            <wp:extent cx="5580000" cy="42635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63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40" w:line="288" w:lineRule="exact"/>
        <w:jc w:val="center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خريطة تمثل أكبر البورصات في العالم</w:t>
      </w:r>
    </w:p>
    <w:p>
      <w:pPr>
        <w:pageBreakBefore/>
        <w:bidi/>
        <w:spacing w:before="0" w:after="0" w:line="96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986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7711"/>
        <w:gridCol w:w="1077"/>
        <w:gridCol w:w="1077"/>
      </w:tblGrid>
      <w:tr>
        <w:trPr>
          <w:tblHeader/>
          <w:jc w:val="center"/>
        </w:trPr>
        <w:tc>
          <w:tcPr>
            <w:tcW w:w="7711" w:type="dxa"/>
            <w:vMerge w:val="restart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154" w:type="dxa"/>
            <w:gridSpan w:val="2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7711" w:type="dxa"/>
            <w:vMerge/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77" w:type="dxa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7711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الجزء الثاني : ( 04 نقاط )</w:t>
            </w:r>
          </w:p>
        </w:tc>
        <w:tc>
          <w:tcPr>
            <w:tcW w:w="1077" w:type="dxa"/>
            <w:tcBorders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 w:val="restart"/>
            <w:tcBorders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المقدمة: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الظاهرة الآسيوية بين القوة الديموغرافية و التطور الاقتصادي .</w:t>
            </w: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العرض: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1– دور استثمار العنصر البشري في تحقيق التطور الاقتصادي 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وفرة اليد العاملة المؤهلة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سوق استهلاكية واسعة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حركة الهجرة و دورها في تدفق رؤوس الأموال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ارتفاع ميزانية التعليم و الاهتمام بالبحث العلمي و الباحثين الأجانب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2– مكانة المنطقة في الاقتصاد العالمي 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85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ثالث قطب اقتصادي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85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تعدد أقطابها الصناعية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85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قوة الأسطول التجاري ( يساهم ب30 % من الأسطول العالمي )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85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انفتاح المنطقة على الاستثمارات الأجنبية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85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قوة أسواقها المالية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</w:tcBorders>
            <w:vAlign w:val="top"/>
          </w:tcPr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الخاتمة: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حسن استغلال العنصر البشري مكن دول شرق و جنوب شرق آسيا من بناء قوتها الاقتصادية .</w:t>
            </w:r>
          </w:p>
        </w:tc>
        <w:tc>
          <w:tcPr>
            <w:tcW w:w="1077" w:type="dxa"/>
            <w:tcBorders>
              <w:top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336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الموضوع الثاني</w:t>
            </w: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تاريخ :</w:t>
            </w: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الجزء الأول : ( 06 نقاط )</w:t>
            </w:r>
          </w:p>
        </w:tc>
        <w:tc>
          <w:tcPr>
            <w:tcW w:w="1077" w:type="dxa"/>
            <w:tcBorders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 w:val="restart"/>
            <w:tcBorders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1– مفهوم المصطلحات 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الستار الحديدي : مفهوم استعمله ونستون تشرشل رئيس وزراء بريطانيا للتعبير عن أطماع الاتحاد السوفياتي التوسعية لعزل أوروبا الشرقية عن الغربية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القوة الثالثة : قوة أنشأتها فرنسا من الموالين لها(العملاء ، القياد ، بعض المنتخبين ) الهدف منها تظليل الرأي العام العالمي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المنظمات غير الحكومية : هي منظمات خيرية تعرف بالمجتمع المدني موظفوها متطوعون تنشط في كافة الميادين كالبيئة ، حقوق الإنسان ، الإغاثة ، الرعاية الصحية ، الطفولة ...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التعريف بالشخصيات: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زيغود يوسف ( 1921 – 1956 ) : مناضل في حزب الشعب ثم المنظمة الخاصة ، عضو في اللجنة الثورية للوحدة و العمل قائد المنطقة الثانية  بعد استشهاد ديدوش مراد ، منظم  و منفذ هجومات الشمال القسنطيني 20 أوت 1955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ميخائيل غورباتشوف ( 1931 ) :  آخر رؤساء الاتحاد السوفياتي 1985 – 1991 صاحب فكرتي البريسترويكا و الغلاسنوست ، و قع العديد من الاتفاقيات التي أدت إلى إنهاء  الحرب الباردة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أحمد سوكارنو ( 1901 – 1970) : سياسي و زعيم اندونيسي تزعم حركة تحرير بلاده ضد الهولنديين رئيسا لاندونيسيا حتى عام 1967 من مؤسسي حركة عدم الانحياز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tcBorders>
              <w:top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tcBorders>
              <w:top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</w:tbl>
    <w:p>
      <w:pPr>
        <w:pageBreakBefore/>
        <w:bidi/>
        <w:spacing w:before="0" w:after="0" w:line="96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986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7711"/>
        <w:gridCol w:w="1077"/>
        <w:gridCol w:w="1077"/>
      </w:tblGrid>
      <w:tr>
        <w:trPr>
          <w:tblHeader/>
          <w:jc w:val="center"/>
        </w:trPr>
        <w:tc>
          <w:tcPr>
            <w:tcW w:w="7711" w:type="dxa"/>
            <w:vMerge w:val="restart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154" w:type="dxa"/>
            <w:gridSpan w:val="2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7711" w:type="dxa"/>
            <w:vMerge/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77" w:type="dxa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7711" w:type="dxa"/>
            <w:tcBorders>
              <w:bottom w:val="nil"/>
            </w:tcBorders>
            <w:vAlign w:val="top"/>
          </w:tcPr>
          <w:p>
            <w:pPr>
              <w:bidi/>
              <w:spacing w:before="0" w:after="4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3– جدول الأحداث:</w:t>
            </w:r>
          </w:p>
          <w:tbl>
            <w:tblPr>
              <w:bidiVisual/>
              <w:tblW w:w="7314" w:type="dxa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left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4139"/>
              <w:gridCol w:w="3175"/>
            </w:tblGrid>
            <w:tr>
              <w:trPr>
                <w:jc w:val="center"/>
              </w:trPr>
              <w:tc>
                <w:tcPr>
                  <w:tcW w:w="4139" w:type="dxa"/>
                  <w:vAlign w:val="top"/>
                </w:tcPr>
                <w:p>
                  <w:pPr>
                    <w:bidi/>
                    <w:spacing w:before="0" w:after="0" w:line="312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الحـــــدث</w:t>
                  </w:r>
                </w:p>
              </w:tc>
              <w:tc>
                <w:tcPr>
                  <w:tcW w:w="3175" w:type="dxa"/>
                  <w:vAlign w:val="top"/>
                </w:tcPr>
                <w:p>
                  <w:pPr>
                    <w:bidi/>
                    <w:spacing w:before="0" w:after="0" w:line="312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تاريخـــــه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39" w:type="dxa"/>
                  <w:vAlign w:val="top"/>
                </w:tcPr>
                <w:p>
                  <w:pPr>
                    <w:bidi/>
                    <w:spacing w:before="0" w:after="0" w:line="312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حلف وارسو</w:t>
                  </w:r>
                </w:p>
              </w:tc>
              <w:tc>
                <w:tcPr>
                  <w:tcW w:w="3175" w:type="dxa"/>
                  <w:vAlign w:val="top"/>
                </w:tcPr>
                <w:p>
                  <w:pPr>
                    <w:bidi/>
                    <w:spacing w:before="0" w:after="0" w:line="312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1955/05/14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39" w:type="dxa"/>
                  <w:vAlign w:val="top"/>
                </w:tcPr>
                <w:p>
                  <w:pPr>
                    <w:bidi/>
                    <w:spacing w:before="0" w:after="0" w:line="312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توحيد الألمانيتين</w:t>
                  </w:r>
                </w:p>
              </w:tc>
              <w:tc>
                <w:tcPr>
                  <w:tcW w:w="3175" w:type="dxa"/>
                  <w:vAlign w:val="top"/>
                </w:tcPr>
                <w:p>
                  <w:pPr>
                    <w:bidi/>
                    <w:spacing w:before="0" w:after="0" w:line="312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1990/10/03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39" w:type="dxa"/>
                  <w:vAlign w:val="top"/>
                </w:tcPr>
                <w:p>
                  <w:pPr>
                    <w:bidi/>
                    <w:spacing w:before="0" w:after="0" w:line="312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تأسيس الحكومة المؤقتة للجمهورية الجزائرية</w:t>
                  </w:r>
                </w:p>
              </w:tc>
              <w:tc>
                <w:tcPr>
                  <w:tcW w:w="3175" w:type="dxa"/>
                  <w:vAlign w:val="top"/>
                </w:tcPr>
                <w:p>
                  <w:pPr>
                    <w:bidi/>
                    <w:spacing w:before="0" w:after="0" w:line="312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1958/09/19</w:t>
                  </w:r>
                </w:p>
              </w:tc>
            </w:tr>
          </w:tbl>
          <w:p>
            <w:pPr>
              <w:bidi/>
              <w:spacing w:before="0" w:after="0" w:line="48" w:lineRule="exact"/>
              <w:jc w:val="both"/>
              <w:rPr>
                <w:rFonts w:ascii="Simplified Arabic" w:hAnsi="Simplified Arabic" w:cs="Simplified Arabic" w:eastAsia="Simplified Arabic"/>
                <w:sz w:val="4"/>
                <w:szCs w:val="4"/>
                <w:rtl/>
              </w:rPr>
            </w:pPr>
          </w:p>
        </w:tc>
        <w:tc>
          <w:tcPr>
            <w:tcW w:w="1077" w:type="dxa"/>
            <w:tcBorders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الجزء الثاني: (04 نقاط )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المقدمة: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الجزائر بين الموروث الاستعماري و إعادة بناء دولة ذات سيادة .</w:t>
            </w: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العرض: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1– ظروف قيام الدولة الجزائرية السياسية و الاجتماعية :</w:t>
            </w:r>
          </w:p>
          <w:p>
            <w:pPr>
              <w:bidi/>
              <w:spacing w:before="0" w:after="0" w:line="312" w:lineRule="exact"/>
              <w:ind w:left="85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أ–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السياسية: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• نشاط منظمة الجيش السري الإرهابية ( O.A.S )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• قيود إتفاقيات إيفيان 1962/03/18.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• مؤتمر طرابلس و قراراته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• استفتاء تقرير المصير 1962/07/01.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• تكوين الجمعية التأسيسية سبتمبر 1962 التي أعلنت قيام الجمهورية الجزائرية الديمقراطية الشعبية في 1962/09/26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85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ب 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الاجتماعية: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• ضحايا الثورة التحريرية و مخلفاتها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• الثالوث الأسود ( فقر ، جهل ، مرض )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2– الاختيارات السياسية التي أقرها ميثاق طرابلس 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• تشييد دولة عصرية تعتمد ممارسة المسؤولية السياسية فيها على التحليل الموضوعي  ، و تتحقق الفكرة الديمقراطية في مؤسساتها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• رفض كل أشكال النزعة الذاتية و الارتجال و الغموض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• إتباع سياسة خارجية متحررة و رافضة للاستعمار و التبعية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• العمل على تجسيد الوحدة المغاربية و العربية و الإفريقية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الخاتمة: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 إعادة بناء الدولة الجزائرية تجسيد لمواثيق الثورة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الجغرافيا:</w:t>
            </w: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الجزء الأول: ( 06 نقاط )</w:t>
            </w:r>
          </w:p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1– مفهوم المصطلحات: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التكتل الاقتصادي: اتحاد مجموعة دول موثق في اتفاقية له هياكل عضوية تنظيمية موحدة يتمتع بالشخصية القانونية له مجال جغرافي تلغى فيه الحواجز الجمركية بين الدول الأعضاء.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تبييض الأموال: تحويل الأموال غير المشروعة إلى أموال مشروعة عبرعمليات بنكية وتجارية.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التنينات الأربعة: مصطلح جغرافي اقتصادي يطلق على أربع دول آسيوية: كوريا الجنوبية، هونغ كونغ، سنغافورة ، تايوان ، تتميز بنمو اقتصادها السريع.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tcBorders>
              <w:top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tcBorders>
              <w:top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</w:tbl>
    <w:p>
      <w:pPr>
        <w:pageBreakBefore/>
        <w:bidi/>
        <w:spacing w:before="0" w:after="0" w:line="96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986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7711"/>
        <w:gridCol w:w="1077"/>
        <w:gridCol w:w="1077"/>
      </w:tblGrid>
      <w:tr>
        <w:trPr>
          <w:tblHeader/>
          <w:jc w:val="center"/>
        </w:trPr>
        <w:tc>
          <w:tcPr>
            <w:tcW w:w="7711" w:type="dxa"/>
            <w:vMerge w:val="restart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154" w:type="dxa"/>
            <w:gridSpan w:val="2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7711" w:type="dxa"/>
            <w:vMerge/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77" w:type="dxa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7711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التمثيل البياني:</w:t>
            </w:r>
          </w:p>
        </w:tc>
        <w:tc>
          <w:tcPr>
            <w:tcW w:w="1077" w:type="dxa"/>
            <w:tcBorders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 w:val="restart"/>
            <w:tcBorders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أ– الرسم البياني :  – الانجاز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268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المقياس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268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المفتاح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268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العنوان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ب–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التعليق: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هيمنة البلدان الآسيوية على إنتاج الأرز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احتلال الصين الشعبية للمرتبة الأولى عالميا في إنتاجه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اهتمام هذه الدول بهذا المحصول كونه الغذاء الرئيسي للسكان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</w:tcBorders>
            <w:vAlign w:val="top"/>
          </w:tcPr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ملاءمة الظروف الطبيعية لزراعته.</w:t>
            </w:r>
          </w:p>
        </w:tc>
        <w:tc>
          <w:tcPr>
            <w:tcW w:w="1077" w:type="dxa"/>
            <w:tcBorders>
              <w:top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الجزء الثاني: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( 04 نقاط )</w:t>
            </w:r>
          </w:p>
        </w:tc>
        <w:tc>
          <w:tcPr>
            <w:tcW w:w="1077" w:type="dxa"/>
            <w:tcBorders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 w:val="restart"/>
            <w:tcBorders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المقدمة : النظام الاقتصادي العالمي و انعكاساته 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العرض: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1– عوامل التفاوت بين الشمال و الجنوب 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الاستعمار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الاستقرار السياسي في الشمال و انعدامه في الجنوب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إجحاف النظام الاقتصادي العالمي القائم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نجاح السياسات الاقتصادية في الشمال و فشلها في الجنوب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تشجيع العلم و البحث العلمي في الشمال عكس الجنوب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تحكم الشمال في التكنولوجيا عكس الجنوب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2– مظاهر التخلف باعتماد مؤشرات  اقتصادية 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ضعف نسبة  المساهمة في الإنتاج الزراعي العالمي 35 %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 ضعف نسبة  المساهمة في الإنتاج الصناعي العالمي 10 %.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 ضعف نسبة  المساهمة في التجارة الدولية 18 %.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الاعتماد على تصدير المواد الأولية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المساهمة في الدخل الخام العالمي بـــ 20 %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الخاتمة: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ضرورة إعادة النظر في النظام الاقتصادي العالمي القائم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tcBorders>
              <w:top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tcBorders>
              <w:top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</w:tbl>
    <w:p>
      <w:pPr>
        <w:pageBreakBefore/>
        <w:bidi/>
        <w:spacing w:before="0" w:after="0" w:line="96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200" w:line="192" w:lineRule="exact"/>
        <w:jc w:val="both"/>
        <w:rPr>
          <w:rFonts w:ascii="Simplified Arabic" w:hAnsi="Simplified Arabic" w:cs="Simplified Arabic" w:eastAsia="Simplified Arabic"/>
          <w:sz w:val="16"/>
          <w:szCs w:val="16"/>
          <w:rtl/>
        </w:rPr>
      </w:pP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drawing>
          <wp:inline xmlns:a="http://schemas.openxmlformats.org/drawingml/2006/main" xmlns:pic="http://schemas.openxmlformats.org/drawingml/2006/picture">
            <wp:extent cx="5580000" cy="50969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9697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jawal">
    <w:charset w:val="00"/>
    <w:family w:val="auto"/>
    <w:pitch w:val="variable"/>
    <w:embedRegular r:id="rIdTajRegular" w:fontKey="{4066E091-2AEF-4C7E-9649-EA8391BF47C9}"/>
    <w:embedBold r:id="rIdTajBold" w:fontKey="{D05A65DB-F189-4B22-A92A-1EB35F1895B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1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0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2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10205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80" w:type="dxa"/>
        <w:right w:w="80" w:type="dxa"/>
      </w:tblCellMar>
      <w:tblLook w:val="04A0" w:firstRow="1" w:lastRow="0" w:firstColumn="1" w:lastColumn="0" w:noHBand="0" w:noVBand="1"/>
    </w:tblPr>
    <w:tblGrid>
      <w:gridCol w:w="8278"/>
      <w:gridCol w:w="1927"/>
    </w:tblGrid>
    <w:tr>
      <w:trPr>
        <w:jc w:val="center"/>
      </w:trPr>
      <w:tc>
        <w:tcPr>
          <w:tcW w:w="8278" w:type="dxa"/>
          <w:vAlign w:val="top"/>
        </w:tcPr>
        <w:p>
          <w:pPr>
            <w:bidi/>
            <w:spacing w:before="0" w:after="0" w:line="240" w:lineRule="exact"/>
            <w:jc w:val="left"/>
            <w:rPr>
              <w:rFonts w:ascii="Simplified Arabic" w:hAnsi="Simplified Arabic" w:cs="Simplified Arabic" w:eastAsia="Simplified Arabic"/>
              <w:sz w:val="20"/>
              <w:szCs w:val="20"/>
              <w:rtl/>
            </w:rPr>
          </w:pPr>
          <w:r>
            <w:rPr>
              <w:rFonts w:ascii="Simplified Arabic" w:hAnsi="Simplified Arabic" w:cs="Simplified Arabic" w:eastAsia="Simplified Arabic"/>
              <w:sz w:val="20"/>
              <w:szCs w:val="20"/>
              <w:rtl/>
              <w:lang w:bidi="ar-DZ"/>
            </w:rPr>
            <w:t xml:space="preserve">تابع الإجابة النموذجية لموضوع مادة:التاريخ والجغرافيا الشعبة علوم  تجريبية ، رياضيات ، تقني رياضي</w:t>
          </w:r>
        </w:p>
      </w:tc>
      <w:tc>
        <w:tcPr>
          <w:tcW w:w="1927" w:type="dxa"/>
          <w:vAlign w:val="top"/>
        </w:tcPr>
        <w:p>
          <w:pPr>
            <w:bidi/>
            <w:spacing w:before="0" w:after="0" w:line="240" w:lineRule="exact"/>
            <w:jc w:val="left"/>
            <w:rPr>
              <w:rFonts w:ascii="Simplified Arabic" w:hAnsi="Simplified Arabic" w:cs="Simplified Arabic" w:eastAsia="Simplified Arabic"/>
              <w:sz w:val="20"/>
              <w:szCs w:val="20"/>
              <w:rtl/>
            </w:rPr>
          </w:pPr>
          <w:r>
            <w:rPr>
              <w:rFonts w:ascii="Simplified Arabic" w:hAnsi="Simplified Arabic" w:cs="Simplified Arabic" w:eastAsia="Simplified Arabic"/>
              <w:sz w:val="20"/>
              <w:szCs w:val="20"/>
              <w:rtl/>
              <w:lang w:bidi="ar-DZ"/>
            </w:rPr>
            <w:t xml:space="preserve">دورة: جوان </w:t>
          </w:r>
          <w:r>
            <w:rPr>
              <w:rFonts w:ascii="Simplified Arabic" w:hAnsi="Simplified Arabic" w:cs="Simplified Arabic" w:eastAsia="Simplified Arabic"/>
              <w:b/>
              <w:bCs/>
              <w:sz w:val="20"/>
              <w:szCs w:val="20"/>
              <w:rtl/>
              <w:lang w:bidi="ar-DZ"/>
            </w:rPr>
            <w:t xml:space="preserve">2012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10205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80" w:type="dxa"/>
        <w:right w:w="80" w:type="dxa"/>
      </w:tblCellMar>
      <w:tblLook w:val="04A0" w:firstRow="1" w:lastRow="0" w:firstColumn="1" w:lastColumn="0" w:noHBand="0" w:noVBand="1"/>
    </w:tblPr>
    <w:tblGrid>
      <w:gridCol w:w="8278"/>
      <w:gridCol w:w="1927"/>
    </w:tblGrid>
    <w:tr>
      <w:trPr>
        <w:jc w:val="center"/>
      </w:trPr>
      <w:tc>
        <w:tcPr>
          <w:tcW w:w="8278" w:type="dxa"/>
          <w:vAlign w:val="top"/>
        </w:tcPr>
        <w:p>
          <w:pPr>
            <w:bidi/>
            <w:spacing w:before="0" w:after="0" w:line="240" w:lineRule="exact"/>
            <w:jc w:val="left"/>
            <w:rPr>
              <w:rFonts w:ascii="Simplified Arabic" w:hAnsi="Simplified Arabic" w:cs="Simplified Arabic" w:eastAsia="Simplified Arabic"/>
              <w:sz w:val="20"/>
              <w:szCs w:val="20"/>
              <w:rtl/>
            </w:rPr>
          </w:pPr>
          <w:r>
            <w:rPr>
              <w:rFonts w:ascii="Simplified Arabic" w:hAnsi="Simplified Arabic" w:cs="Simplified Arabic" w:eastAsia="Simplified Arabic"/>
              <w:sz w:val="20"/>
              <w:szCs w:val="20"/>
              <w:rtl/>
              <w:lang w:bidi="ar-DZ"/>
            </w:rPr>
            <w:t xml:space="preserve">تابع الإجابة النموذجية لموضوع مادة:التاريخ والجغرافيا الشعبة علوم  تجريبية ، رياضيات ، تقني رياضي</w:t>
          </w:r>
        </w:p>
      </w:tc>
      <w:tc>
        <w:tcPr>
          <w:tcW w:w="1927" w:type="dxa"/>
          <w:vAlign w:val="top"/>
        </w:tcPr>
        <w:p>
          <w:pPr>
            <w:bidi/>
            <w:spacing w:before="0" w:after="0" w:line="240" w:lineRule="exact"/>
            <w:jc w:val="left"/>
            <w:rPr>
              <w:rFonts w:ascii="Simplified Arabic" w:hAnsi="Simplified Arabic" w:cs="Simplified Arabic" w:eastAsia="Simplified Arabic"/>
              <w:sz w:val="20"/>
              <w:szCs w:val="20"/>
              <w:rtl/>
            </w:rPr>
          </w:pPr>
          <w:r>
            <w:rPr>
              <w:rFonts w:ascii="Simplified Arabic" w:hAnsi="Simplified Arabic" w:cs="Simplified Arabic" w:eastAsia="Simplified Arabic"/>
              <w:sz w:val="20"/>
              <w:szCs w:val="20"/>
              <w:rtl/>
              <w:lang w:bidi="ar-DZ"/>
            </w:rPr>
            <w:t xml:space="preserve">دورة: جوان </w:t>
          </w:r>
          <w:r>
            <w:rPr>
              <w:rFonts w:ascii="Simplified Arabic" w:hAnsi="Simplified Arabic" w:cs="Simplified Arabic" w:eastAsia="Simplified Arabic"/>
              <w:b/>
              <w:bCs/>
              <w:sz w:val="20"/>
              <w:szCs w:val="20"/>
              <w:rtl/>
              <w:lang w:bidi="ar-DZ"/>
            </w:rPr>
            <w:t xml:space="preserve">2012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96" w:lineRule="exac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/Relationships>
</file>

<file path=word/_rels/fontTable.xml.rels><?xml version="1.0" encoding="UTF-8" standalone="yes"?>
<Relationships xmlns="http://schemas.openxmlformats.org/package/2006/relationships"><Relationship Id="rIdTajRegular" Type="http://schemas.openxmlformats.org/officeDocument/2006/relationships/font" Target="fonts/majmaa_tajawal_regular.odttf"/><Relationship Id="rIdTajBold" Type="http://schemas.openxmlformats.org/officeDocument/2006/relationships/font" Target="fonts/majmaa_tajawal_bold.odttf"/></Relationships>
</file>

<file path=word/_rels/footer1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2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3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