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الجمهورية الجزائرية الديمقراطية الشعبية</w:t>
      </w:r>
    </w:p>
    <w:tbl>
      <w:tblPr>
        <w:bidiVisual/>
        <w:tblW w:w="10206" w:type="dxa"/>
        <w:jc w:val="center"/>
        <w:tblBorders>
          <w:top w:val="nil"/>
          <w:left w:val="nil"/>
          <w:bottom w:val="nil"/>
          <w:right w:val="nil"/>
          <w:insideH w:val="nil"/>
          <w:insideV w:val="nil"/>
        </w:tblBorders>
        <w:tblLayout w:type="fixed"/>
        <w:tblCellMar>
          <w:left w:w="40" w:type="dxa"/>
          <w:right w:w="40" w:type="dxa"/>
        </w:tblCellMar>
        <w:tblLook w:val="04A0" w:firstRow="1" w:lastRow="0" w:firstColumn="1" w:lastColumn="0" w:noHBand="0" w:noVBand="1"/>
      </w:tblPr>
      <w:tblGrid>
        <w:gridCol w:w="4406"/>
        <w:gridCol w:w="1700"/>
        <w:gridCol w:w="4100"/>
      </w:tblGrid>
      <w:tr>
        <w:trPr>
          <w:jc w:val="center"/>
        </w:trPr>
        <w:tc>
          <w:tcPr>
            <w:tcW w:w="4406"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وزارة التربية الوطنية</w:t>
            </w:r>
          </w:p>
        </w:tc>
        <w:tc>
          <w:tcPr>
            <w:tcW w:w="1700" w:type="dxa"/>
            <w:vMerge w:val="restart"/>
            <w:tcBorders>
              <w:top w:val="nil"/>
              <w:left w:val="nil"/>
              <w:bottom w:val="nil"/>
              <w:right w:val="nil"/>
            </w:tcBorders>
            <w:vAlign w:val="center"/>
          </w:tcPr>
          <w:p>
            <w:pPr>
              <w:bidi/>
              <w:spacing w:before="0" w:after="0"/>
              <w:jc w:val="center"/>
              <w:rPr>
                <w:rFonts w:ascii="Traditional Arabic" w:hAnsi="Traditional Arabic" w:cs="Traditional Arabic" w:eastAsia="Traditional Arabic"/>
                <w:sz w:val="28"/>
                <w:szCs w:val="28"/>
                <w:rtl/>
              </w:rPr>
            </w:pPr>
            <w:r>
              <w:drawing>
                <wp:inline xmlns:a="http://schemas.openxmlformats.org/drawingml/2006/main" xmlns:pic="http://schemas.openxmlformats.org/drawingml/2006/picture">
                  <wp:extent cx="855849" cy="72000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855849" cy="720000"/>
                          </a:xfrm>
                          <a:prstGeom prst="rect"/>
                        </pic:spPr>
                      </pic:pic>
                    </a:graphicData>
                  </a:graphic>
                </wp:inline>
              </w:drawing>
            </w:r>
          </w:p>
        </w:tc>
        <w:tc>
          <w:tcPr>
            <w:tcW w:w="4100"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الديوان الوطني للامتحانات والمسابقات</w:t>
            </w:r>
          </w:p>
        </w:tc>
      </w:tr>
      <w:tr>
        <w:trPr>
          <w:jc w:val="center"/>
        </w:trPr>
        <w:tc>
          <w:tcPr>
            <w:tcW w:w="4406"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امتحان بكالوريا التعليم الثانوي</w:t>
            </w:r>
          </w:p>
        </w:tc>
        <w:tc>
          <w:tcPr>
            <w:tcW w:w="1700" w:type="dxa"/>
            <w:vMerge/>
            <w:tcBorders>
              <w:top w:val="nil"/>
              <w:left w:val="nil"/>
              <w:bottom w:val="nil"/>
              <w:right w:val="nil"/>
            </w:tcBorders>
            <w:vAlign w:val="top"/>
          </w:tcPr>
          <w:p>
            <w:pPr>
              <w:bidi/>
              <w:spacing w:before="0" w:after="0" w:line="378" w:lineRule="atLeast"/>
              <w:jc w:val="both"/>
              <w:rPr>
                <w:rFonts w:ascii="Traditional Arabic" w:hAnsi="Traditional Arabic" w:cs="Traditional Arabic" w:eastAsia="Traditional Arabic"/>
                <w:sz w:val="28"/>
                <w:szCs w:val="28"/>
                <w:rtl/>
              </w:rPr>
            </w:pPr>
          </w:p>
        </w:tc>
        <w:tc>
          <w:tcPr>
            <w:tcW w:w="4100"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دورة: 2018</w:t>
            </w:r>
          </w:p>
        </w:tc>
      </w:tr>
      <w:tr>
        <w:trPr>
          <w:jc w:val="center"/>
        </w:trPr>
        <w:tc>
          <w:tcPr>
            <w:tcW w:w="4406"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الشعبة: جميع الشعب</w:t>
            </w:r>
          </w:p>
        </w:tc>
        <w:tc>
          <w:tcPr>
            <w:tcW w:w="1700" w:type="dxa"/>
            <w:vMerge/>
            <w:tcBorders>
              <w:top w:val="nil"/>
              <w:left w:val="nil"/>
              <w:bottom w:val="single" w:sz="8" w:space="0" w:color="000000"/>
              <w:right w:val="nil"/>
            </w:tcBorders>
            <w:vAlign w:val="top"/>
          </w:tcPr>
          <w:p>
            <w:pPr>
              <w:bidi/>
              <w:spacing w:before="0" w:after="0" w:line="378" w:lineRule="atLeast"/>
              <w:jc w:val="both"/>
              <w:rPr>
                <w:rFonts w:ascii="Traditional Arabic" w:hAnsi="Traditional Arabic" w:cs="Traditional Arabic" w:eastAsia="Traditional Arabic"/>
                <w:sz w:val="28"/>
                <w:szCs w:val="28"/>
                <w:rtl/>
              </w:rPr>
            </w:pPr>
          </w:p>
        </w:tc>
        <w:tc>
          <w:tcPr>
            <w:tcW w:w="4100"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r>
          </w:p>
        </w:tc>
      </w:tr>
    </w:tbl>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اختبار في مادة: العلوم الإسلامية</w:t>
            </w:r>
          </w:p>
        </w:tc>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المدة: 02 سا و30 د</w:t>
            </w:r>
          </w:p>
        </w:tc>
      </w:tr>
    </w:tbl>
    <w:p>
      <w:pPr>
        <w:bidi/>
        <w:spacing w:before="120" w:after="6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على المترشح أن يختار أحد الموضوعين الآتيين:</w:t>
      </w:r>
    </w:p>
    <w:p>
      <w:pPr>
        <w:keepNext/>
        <w:bidi/>
        <w:spacing w:before="60" w:after="10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الموضوع الأول</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p>
      <w:pPr>
        <w:bidi/>
        <w:spacing w:before="0" w:after="40" w:line="432"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قال تعالى: </w:t>
      </w:r>
      <w:r>
        <w:rPr>
          <w:rFonts w:ascii="Traditional Arabic" w:hAnsi="Traditional Arabic" w:cs="Traditional Arabic" w:eastAsia="Traditional Arabic"/>
          <w:b/>
          <w:bCs/>
          <w:sz w:val="32"/>
          <w:szCs w:val="32"/>
          <w:rtl/>
          <w:lang w:bidi="ar-DZ"/>
        </w:rPr>
        <w:t xml:space="preserve">﴿يَا أَيُّهَا الَّذِينَ آمَنُوا لَا تَقْرَبُوا الصَّلَاةَ وَأَنتُمْ سُكَارَىٰ حَتَّىٰ تَعْلَمُوا مَا تَقُولُونَ وَلَا جُنُبًا إِلَّا عَابِرِي سَبِيلٍ حَتَّىٰ تَغْتَسِلُوا ۚ وَإِن كُنتُم مَّرْضَىٰ أَوْ عَلَىٰ سَفَرٍ أَوْ جَاءَ أَحَدٌ مِّنكُم مِّنَ الْغَائِطِ أَوْ لَامَسْتُمُ النِّسَاءَ فَلَمْ تَجِدُوا مَاءً فَتَيَمَّمُوا صَعِيدًا طَيِّبًا فَامْسَحُوا بِوُجُوهِكُمْ وَأَيْدِيكُمْ ۗ إِنَّ اللَّهَ كَانَ عَفُوًّا غَفُورًا﴾</w:t>
      </w:r>
      <w:r>
        <w:rPr>
          <w:rFonts w:ascii="Traditional Arabic" w:hAnsi="Traditional Arabic" w:cs="Traditional Arabic" w:eastAsia="Traditional Arabic"/>
          <w:b/>
          <w:bCs/>
          <w:sz w:val="22"/>
          <w:szCs w:val="22"/>
          <w:rtl/>
          <w:lang w:bidi="ar-DZ"/>
        </w:rPr>
        <w:t xml:space="preserve">  [النساء/43]</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ذكرت الآية مجموعة من مظاهر العناية بالصحة.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ما نوع هذه الصّحة؟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ما مفهومها؟</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استخرج هذه المظاهر، وحدِّد محل الاستدلال عليها في الآية.</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حذَّر الله تعالى في الآية من آفة اجتماعية خطيرة.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بيِّنها واذكر حكمها الشرعي.</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هل ترى أن لهذه الآفة علاقة بحفظ العقل؟ وضِّح.</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sz w:val="28"/>
          <w:szCs w:val="28"/>
          <w:rtl/>
          <w:lang w:bidi="ar-DZ"/>
        </w:rPr>
        <w:t xml:space="preserve">ذكر الله تعالى في الآية أساليب تقِي الإنسان من الوقوع في الجريمة. - حدِّد واحدا منها في الآية واشرحه.</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استخرج من النّص حكمين وفائدتين.</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p>
      <w:pPr>
        <w:bidi/>
        <w:spacing w:before="0" w:after="6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عَنْ عَبْدِ اللهِ بن عَمْرو بن العَاص رَضِيَ اللهُ عَنْهُمَا أَنَّ رَسُولَ اللهِ ﷺ قال: «كُلُّكم راعٍ وكُلُّكم مَسْؤُولٌ عن رَعِيَّتِهِ، الإِمَامُ راعٍ ومسؤولٌ عن رَعِيَّتِهِ، والرَّجُلُ راعٍ في أَهْلِهِ ومَسْؤُولٌ عَن رَعِيَّتِهِ، والمَرأَةُ رَاعِيَةٌ في بَيْتِ زَوْجِهَا وهِيَ مَسْؤُولَةٌ عَن رَعِيَّتِهَا وكُلُّكُم مَسْؤُولٌ عَن رَعِيَّتِهِ»</w:t>
      </w:r>
      <w:r>
        <w:rPr>
          <w:rFonts w:ascii="Traditional Arabic" w:hAnsi="Traditional Arabic" w:cs="Traditional Arabic" w:eastAsia="Traditional Arabic"/>
          <w:b/>
          <w:bCs/>
          <w:sz w:val="22"/>
          <w:szCs w:val="22"/>
          <w:rtl/>
          <w:lang w:bidi="ar-DZ"/>
        </w:rPr>
        <w:t xml:space="preserve">  [رواه الشيخان]</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ذكر الحديث قيمة من القيَم الاجتماعية والمتمثلة في المسؤولية.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ما معناها؟</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بيِّن أثرها في انسجام الأسرة واستمراريتها.</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من مسؤوليات ربِّ العمل ضمان حق العامل في الترقية. - بيِّن الأساس الذي يقوم عليه هذا الحق، وما هو أثره على كلٍّ من العامل وربّ العمل؟</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مِن المسؤوليةِ الملقاة على الوالدين تقوية صلتهم بأبنائهم. - اذكر الأسس التي تقوم عليها هذه الصِّلة.</w:t>
      </w:r>
    </w:p>
    <w:p>
      <w:pPr>
        <w:bidi/>
        <w:spacing w:before="240" w:after="0" w:line="324" w:lineRule="atLeas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انتهى الموضوع الأول</w:t>
      </w:r>
    </w:p>
    <w:p>
      <w:pPr>
        <w:keepNext/>
        <w:pageBreakBefore/>
        <w:bidi/>
        <w:spacing w:before="60" w:after="10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الموضوع الثاني</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p>
      <w:pPr>
        <w:bidi/>
        <w:spacing w:before="0" w:after="6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عَنْ أَبِي هُرَيْرَةَ رَضِيَ اللهُ عَنْهُ قَالَ: قَالَ رَسُولُ اللهِ ﷺ: «كُلُّ سُلَامَى مِنَ النَّاسِ عَلَيْهِ صَدَقَةٌ كُلَّ يَوْمٍ تَطْلُعُ فِيهِ الشَّمْسُ يَعْدِلُ بَيْنَ الاثْنَيْنِ صَدَقَةٌ وَيُعِينُ الرَّجُلَ عَلَى دَابَّتِهِ فَيَحْمِلُ عَلَيْهَا أَوْ يَرْفَعُ عَلَيْهَا مَتَاعَهُ صَدَقَةٌ وَالكَلِمَةُ الطَّيِّبَةُ صَدَقَةٌ وَكُلُّ خُطْوَةٍ يَخْطُوهَا إِلَى الصَّلَاةِ صَدَقَةٌ وَيُمِيطُ الأَذَى عَنِ الطَّرِيقِ صَدَقَةٌ»</w:t>
      </w:r>
      <w:r>
        <w:rPr>
          <w:rFonts w:ascii="Traditional Arabic" w:hAnsi="Traditional Arabic" w:cs="Traditional Arabic" w:eastAsia="Traditional Arabic"/>
          <w:b/>
          <w:bCs/>
          <w:sz w:val="22"/>
          <w:szCs w:val="22"/>
          <w:rtl/>
          <w:lang w:bidi="ar-DZ"/>
        </w:rPr>
        <w:t xml:space="preserve">  [رواه البخاري]</w:t>
      </w:r>
    </w:p>
    <w:p>
      <w:pPr>
        <w:bidi/>
        <w:spacing w:before="0" w:after="60" w:line="297"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sz w:val="22"/>
          <w:szCs w:val="22"/>
          <w:rtl/>
          <w:lang w:bidi="ar-DZ"/>
        </w:rPr>
        <w:t xml:space="preserve">سُلامى: عظام المفاصل. تُميط: تُزيل وتُبعد.</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عرِّف الصّحابي راوي الحديث.</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في الحديث تأكيد لبعض القيم القرآنية.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استخرج قيمتين ثم صنِّفهما وِفق ما درست.</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اشرح واحدة منهما مبيِّنا أثرها على المجتمع.</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الصدقة باب من أبواب الخير وطريق لكسب الأجر والثواب في حياة الإنسان وبعد موته.</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ما هي الصدقة التي يبقى نفعُها مستمرا بعد موت صاحبها؟ وما مفهومها؟</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كيف ترى مساهمة هذه الصدقة في علاج ظاهرة البطالة والتسوّل؟</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sz w:val="28"/>
          <w:szCs w:val="28"/>
          <w:rtl/>
          <w:lang w:bidi="ar-DZ"/>
        </w:rPr>
        <w:t xml:space="preserve">قال لك زميلك أنّ في الحديث إشارة إلى أحد أسس علاقة المسلمين بغيرهم.</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هل توافقه الرأي؟ وضِّح.</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اذكر بقيّة الأسس.</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استخرج من الحديث حكمين وفائدتين.</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إليك هذه المعاملات:</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أ. اِتّفق شخصان على إنجاز بناية سكنية، حيث يُساهم أحدهما بالمال والآخر بالعمل.</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اِشترى شخص سلعة على أن يُسدِّد ثمنها مُفرَّقا على أجزاء، في أوقات معلومة.</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ج. باع شخص سيّارة لآخر بأكثر من ثمنها المعلوم الذي اشتراها به.</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د. تبادل اثنان سيّارة جديدة بسيّارتين قديمتين مع التّسليم الفَوْري.</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حَدِّد المُعاملة الّتي تراها خاطئة، ثمّ صوِّبها.</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سَمِّ هذه المعاملات.</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ما الحكمة من مشروعية البيوع؟</w:t>
      </w:r>
    </w:p>
    <w:p>
      <w:pPr>
        <w:bidi/>
        <w:spacing w:before="240" w:after="0" w:line="324" w:lineRule="atLeas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انتهى الموضوع الثاني</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63560F89-D678-4885-BAC4-EE0FB7938127}"/>
    <w:embedBold r:id="rIdTajBold" w:fontKey="{F8198B0C-D2DC-4FD2-9D19-1DD53985DE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اختبار في مادة: العلوم الإسلامية /الشعبة: جميع الشعب/ بكالوريا 2018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اختبار في مادة: العلوم الإسلامية /الشعبة: جميع الشعب/ بكالوريا 2018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Traditional Arabic" w:hAnsi="Traditional Arabic" w:cs="Traditional Arabic" w:eastAsia="Traditional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