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051"/>
        <w:gridCol w:w="907"/>
        <w:gridCol w:w="1247"/>
      </w:tblGrid>
      <w:tr>
        <w:trPr>
          <w:tblHeader/>
          <w:jc w:val="center"/>
        </w:trPr>
        <w:tc>
          <w:tcPr>
            <w:tcW w:w="8051" w:type="dxa"/>
            <w:vMerge w:val="restart"/>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عناصر الإجابة: </w:t>
            </w:r>
            <w:r>
              <w:rPr>
                <w:rFonts w:ascii="Traditional Arabic" w:hAnsi="Traditional Arabic" w:cs="Traditional Arabic" w:eastAsia="Traditional Arabic"/>
                <w:b/>
                <w:bCs/>
                <w:sz w:val="30"/>
                <w:szCs w:val="30"/>
                <w:u w:val="single"/>
                <w:rtl/>
                <w:lang w:bidi="ar-DZ"/>
              </w:rPr>
              <w:t xml:space="preserve">الموضوع الأوّل</w:t>
            </w:r>
          </w:p>
        </w:tc>
        <w:tc>
          <w:tcPr>
            <w:tcW w:w="2154" w:type="dxa"/>
            <w:gridSpan w:val="2"/>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العلامة</w:t>
            </w:r>
          </w:p>
        </w:tc>
      </w:tr>
      <w:tr>
        <w:trPr>
          <w:tblHeader/>
          <w:jc w:val="center"/>
        </w:trPr>
        <w:tc>
          <w:tcPr>
            <w:tcW w:w="8051" w:type="dxa"/>
            <w:vMerge/>
            <w:vAlign w:val="top"/>
          </w:tcPr>
          <w:p>
            <w:pPr>
              <w:bidi/>
              <w:spacing w:before="0" w:after="0" w:line="351" w:lineRule="exact"/>
              <w:jc w:val="left"/>
              <w:rPr>
                <w:rFonts w:ascii="Traditional Arabic" w:hAnsi="Traditional Arabic" w:cs="Traditional Arabic" w:eastAsia="Traditional Arabic"/>
                <w:sz w:val="26"/>
                <w:szCs w:val="26"/>
                <w:rtl/>
              </w:rPr>
            </w:pPr>
          </w:p>
        </w:tc>
        <w:tc>
          <w:tcPr>
            <w:tcW w:w="907"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مجزأة</w:t>
            </w:r>
          </w:p>
        </w:tc>
        <w:tc>
          <w:tcPr>
            <w:tcW w:w="1247"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مجموع</w:t>
            </w:r>
          </w:p>
        </w:tc>
      </w:tr>
      <w:tr>
        <w:trPr>
          <w:jc w:val="center"/>
        </w:trPr>
        <w:tc>
          <w:tcPr>
            <w:tcW w:w="8051"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التّاريخ:</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المصطلحات: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أحداث 13 ماي 1958</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تمرد الجنرالات الفرنسيين على الحكومة الفرنسية بالجزائر والذي أدى إلى سقوط الجمهورية الفرنسية الرّابعة وقيام الجمهورية الخامسة بقيادة الجنرال شارل ديغول.</w:t>
            </w:r>
          </w:p>
        </w:tc>
        <w:tc>
          <w:tcPr>
            <w:tcW w:w="907"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 نقاط</w:t>
            </w: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دبلوماسيّة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مجموعة من القواعد والأعراف والمبادئ الدّولية التي تهتمّ بتنظيم العلاقات القائمة بين الدّول والمنظّمات كعقد الاتفاقيات وإجراء المفاوضات وحلّ النّزاعات.</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المحافل الدّولية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كافة المنظّمات الدولية والإقليمية والهيئات والمؤتمرات والتّظاهرات الدّولية والاجتماعات التي تشهد حضورا وتمثيلا لمختلف الدول لمناقشة قضايا عالمية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التّعريف بالشّخصيات:</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هوّاري بومدين</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شخصية ثورية جزائرية، قائد الولاية الخامسة سنة 1958، وزير الدّفاع في الحكومة الأولى للجزائر المستقلّة (1962-1965)، رئيس مجلس قيادة الثّورة بعد التّصحيح الثّوري سنة 1965، رئيس للدولة الجزائرية (1976-1978)، أحد أبرز قادة حركة عدم الانحياز، ترأس المؤتمر الرّابع لحركة عدم الانحياز بالجزائر سبتمبر 1973...</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رونالد ريغان</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رئيس أمريكي، تميّز بتشدده تجاه الاتّحاد السّوفييتي، صاحب مبادرة الدّفاع الاستراتيجي أو ما عرف بحرب النّجوم سنة 1983.</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جواهر لال نهرو</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زعيم سياسي هندي، اول رئيس وزراء الهند بعد الاستقلال (1947-1964) من أبرز المشاركين في مؤتمر باندونغ سنة 1955، وأحد الزّعماء المؤسّسين لحركة عدم الانحياز سنة 1961.</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العالم الثّالث بين تداعيات صراع الحرب الباردة وموقفه من الصراع. </w:t>
            </w:r>
            <w:r>
              <w:rPr>
                <w:rFonts w:ascii="Traditional Arabic" w:hAnsi="Traditional Arabic" w:cs="Traditional Arabic" w:eastAsia="Traditional Arabic"/>
                <w:b/>
                <w:bCs/>
                <w:sz w:val="26"/>
                <w:szCs w:val="26"/>
                <w:rtl/>
                <w:lang w:bidi="ar-DZ"/>
              </w:rPr>
              <w:t xml:space="preserve">(تقبل كلّ مقدمة وظيفية)</w:t>
            </w:r>
          </w:p>
        </w:tc>
        <w:tc>
          <w:tcPr>
            <w:tcW w:w="907"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 نقاط</w:t>
            </w: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تداعيات صراع الحرب الباردة على العالم الثّالث:</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أصبح ميدانا لتصفية الحسابات بين القوى الكبرى، وتجريب أسلحتها.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انقسام بعض دوله مثل: كوريا والفيتنام.</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تعرّضه لسياسة ملء الفراغ كما حدث للهند الصّينية.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ظهور أنظمة ديكتاتورية موالية لأحد الطّرفين المتصارعين.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التّعرّض للتّدخلات العسكرية (الأمريكي في الهند الصّينية، والسّوفييتي في أفغانستان)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دعم الانقلابات وخلق بؤر التوتر لتجريب الأسلحة.</w:t>
            </w:r>
          </w:p>
        </w:tc>
        <w:tc>
          <w:tcPr>
            <w:tcW w:w="907"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ردّ فعل العالم الثّالث على هذا الصّراع:</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ظهور التّقارب الأفروآسيوي (مؤتمر باندونغ سنة 1955).</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تأسيس حركة عدم الانحياز سنة 1961.</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رفض سياسة الأحلاف وإقامة القواعد العسكرية.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اتخاذ مبدأ الحياد الإيجابي كموقف تجاه الصّراع.</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الاجابات الصحيحة الأخرى)</w:t>
            </w:r>
          </w:p>
        </w:tc>
        <w:tc>
          <w:tcPr>
            <w:tcW w:w="907" w:type="dxa"/>
            <w:tcBorders>
              <w:top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1247"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051"/>
        <w:gridCol w:w="907"/>
        <w:gridCol w:w="1247"/>
      </w:tblGrid>
      <w:tr>
        <w:trPr>
          <w:jc w:val="center"/>
        </w:trPr>
        <w:tc>
          <w:tcPr>
            <w:tcW w:w="8051"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الدعوة الى السلم وتجنب التورط في الصراعات الدولية.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دعم حركات التحرر وتطبيق حق الشعوب في تقرير المصير.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دور العالم الثّالث في السعي الى تخفيف الضغط بين المعسكرين . </w:t>
            </w:r>
            <w:r>
              <w:rPr>
                <w:rFonts w:ascii="Traditional Arabic" w:hAnsi="Traditional Arabic" w:cs="Traditional Arabic" w:eastAsia="Traditional Arabic"/>
                <w:b/>
                <w:bCs/>
                <w:sz w:val="26"/>
                <w:szCs w:val="26"/>
                <w:rtl/>
                <w:lang w:bidi="ar-DZ"/>
              </w:rPr>
              <w:t xml:space="preserve">( تقبل كل خاتمة وظيفية )</w:t>
            </w:r>
          </w:p>
        </w:tc>
        <w:tc>
          <w:tcPr>
            <w:tcW w:w="907"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الجغرافيا:</w:t>
            </w:r>
            <w:r>
              <w:rPr>
                <w:rFonts w:ascii="Traditional Arabic" w:hAnsi="Traditional Arabic" w:cs="Traditional Arabic" w:eastAsia="Traditional Arabic"/>
                <w:b/>
                <w:bCs/>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المصطلحات: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الآسيان</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اختصار إنجليزي لرابطة أمم جنوب شرق آسيا، تأسّست في تايلاند في 08 اوت 1967، تضمّ 10 دول تهدف إلى تسريع النّمو وتعزيز التّعاون وتسهيل التّكامل في جميع المجالات.</w:t>
            </w:r>
          </w:p>
        </w:tc>
        <w:tc>
          <w:tcPr>
            <w:tcW w:w="907"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 نقاط</w:t>
            </w: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الرّسوم الجمركية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القواعد واللوائح التي تفرضها الحكومات على الواردات الأجنبية بهدف حماية المنتوج المحلّي من المنافسة.</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منطقة تجارة حرّة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مناطق تتمّ فيها المبادلات التّجارية (الصّادرات والواردات) دون فرض رسوم جمركية تكون بين دولتين أو أكثر.</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التّوقيع على الخريطة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دول البينيلوكس: بلجيكا – هولندا – لوكسمبورغ.</w:t>
            </w:r>
          </w:p>
          <w:p>
            <w:pPr>
              <w:bidi/>
              <w:spacing w:before="0" w:after="0" w:line="351" w:lineRule="exact"/>
              <w:ind w:left="1701" w:right="0"/>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الإنجاز: 0.75 ن لكل دولة</w:t>
            </w:r>
          </w:p>
          <w:p>
            <w:pPr>
              <w:bidi/>
              <w:spacing w:before="0" w:after="0" w:line="351" w:lineRule="exact"/>
              <w:ind w:left="1701" w:right="0"/>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العنوان: 0.50 ن</w:t>
            </w:r>
          </w:p>
          <w:p>
            <w:pPr>
              <w:bidi/>
              <w:spacing w:before="0" w:after="0" w:line="351" w:lineRule="exact"/>
              <w:ind w:left="1701" w:right="0"/>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المفتاح: 0.25 ن</w:t>
            </w:r>
          </w:p>
        </w:tc>
        <w:tc>
          <w:tcPr>
            <w:tcW w:w="907"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التّجارة الخارجية الجزائرية بين الرّهانات والتّحديات. </w:t>
            </w:r>
            <w:r>
              <w:rPr>
                <w:rFonts w:ascii="Traditional Arabic" w:hAnsi="Traditional Arabic" w:cs="Traditional Arabic" w:eastAsia="Traditional Arabic"/>
                <w:b/>
                <w:bCs/>
                <w:sz w:val="26"/>
                <w:szCs w:val="26"/>
                <w:rtl/>
                <w:lang w:bidi="ar-DZ"/>
              </w:rPr>
              <w:t xml:space="preserve">( تقبل كل مقدمة وظيفية )</w:t>
            </w:r>
          </w:p>
        </w:tc>
        <w:tc>
          <w:tcPr>
            <w:tcW w:w="907"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 نقاط</w:t>
            </w: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واقع التّجارة الخارجية للجزائر: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ارتكاز الصّادرات على المحروقات بنسبة تقارب 90.%</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الواردات عبارة عن مواد مصنّعة ومواد غذائية وتجهيزات وأدوية.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احتلال المرتبة الثّالثة عالميا في تصدير الغاز الطّبيعي، والمرتبة الثّانية عشر في تصدير البترول.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الارتباط المبادلات التجارية الجزائرية بنسبة تزيد عن 54 % مع الاتحاد الأوروبي.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تأثّر الميزان التّجاري بشكل مباشر بتقلّبات أسعار النّفط.</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مساهمة عائدات التّجارة الخارجية بنسبة 22 %من النّاتج المحلّي.</w:t>
            </w:r>
          </w:p>
        </w:tc>
        <w:tc>
          <w:tcPr>
            <w:tcW w:w="907"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مساعي الدّولة الجزائرية لتطوير تجارتها الخارجية: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تسهيل الإجراءات الإدارية لتبسيط العملية التّجارية.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تنويع مناطق التّبادل للتّخلّص من التّبعية لأوربا.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تفعيل آليات التّبادل التّجاري في إفريقيا (اتّفاقية التّجارة الحرّة الإفريقية).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دعم الاستثمار الخارجي القائم على المصالح المتبادلة.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البحث عن مصادر تمويل جديدة خارج قطاع المحروقات بتنويع الصّادرات.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السّعي لتعزيز التّعاون الإقليمي والدّولي ببناء شراكات تجارية جديدة وقويّة (الصّين، تركيا، إفريقيا).</w:t>
            </w:r>
          </w:p>
        </w:tc>
        <w:tc>
          <w:tcPr>
            <w:tcW w:w="907"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المساعي الحثيثة للدّولة، جعلت من التّجارة الخارجية أداة أساسية فاعلة في إحداث تنمية متوازنة وشاملة ومستدامة. </w:t>
            </w:r>
            <w:r>
              <w:rPr>
                <w:rFonts w:ascii="Traditional Arabic" w:hAnsi="Traditional Arabic" w:cs="Traditional Arabic" w:eastAsia="Traditional Arabic"/>
                <w:b/>
                <w:bCs/>
                <w:sz w:val="26"/>
                <w:szCs w:val="26"/>
                <w:rtl/>
                <w:lang w:bidi="ar-DZ"/>
              </w:rPr>
              <w:t xml:space="preserve">(تقبل كلّ خاتمة وظيفيّة).</w:t>
            </w: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07"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051"/>
        <w:gridCol w:w="907"/>
        <w:gridCol w:w="1247"/>
      </w:tblGrid>
      <w:tr>
        <w:trPr>
          <w:jc w:val="center"/>
        </w:trPr>
        <w:tc>
          <w:tcPr>
            <w:tcW w:w="8051" w:type="dxa"/>
            <w:tcBorders>
              <w:bottom w:val="nil"/>
            </w:tcBorders>
            <w:vAlign w:val="top"/>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u w:val="single"/>
                <w:rtl/>
                <w:lang w:bidi="ar-DZ"/>
              </w:rPr>
              <w:t xml:space="preserve">الموضوع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التّاريخ: 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المصطلحات: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الشّرق</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مصطلح استعمل خلال الحرب الباردة للدّلالة على المعسكر الاشتراكي الشّيوعي بقيادة الاتّحاد السّوفياتي، تمييزا له عن الغرب الرّأسمالي.</w:t>
            </w:r>
          </w:p>
        </w:tc>
        <w:tc>
          <w:tcPr>
            <w:tcW w:w="907"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 نقاط</w:t>
            </w: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الاستقلال الاقتصادي</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مصطلح يدلّ على سعي الدّول المستقلّة حديثًا باسترجاع السّيادة على ثرواتها الطّبيعية والإشراف عليها والتّخلص من التّبعية لاستكمال استقلالها السّياسي بالاستقلال .</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تقرير المصير</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حقّ تكفله المواثيق والهيئات الدّولية يقوم على حقّ الشّعوب في استرجاع سيادتها وإدارة شؤونها.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إكمال الجدول:</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tbl>
            <w:tblPr>
              <w:bidiVisual/>
              <w:tblW w:w="737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252"/>
              <w:gridCol w:w="3118"/>
            </w:tblGrid>
            <w:tr>
              <w:trPr>
                <w:jc w:val="center"/>
              </w:trPr>
              <w:tc>
                <w:tcPr>
                  <w:tcW w:w="4252"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الحدث</w:t>
                  </w:r>
                </w:p>
              </w:tc>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تاريخه</w:t>
                  </w:r>
                </w:p>
              </w:tc>
            </w:tr>
            <w:tr>
              <w:trPr>
                <w:jc w:val="center"/>
              </w:trPr>
              <w:tc>
                <w:tcPr>
                  <w:tcW w:w="4252" w:type="dxa"/>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إعلان مبدأ جدانوف</w:t>
                  </w:r>
                </w:p>
              </w:tc>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22سبتمبر 1947</w:t>
                  </w:r>
                </w:p>
              </w:tc>
            </w:tr>
            <w:tr>
              <w:trPr>
                <w:jc w:val="center"/>
              </w:trPr>
              <w:tc>
                <w:tcPr>
                  <w:tcW w:w="4252" w:type="dxa"/>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إضراب الثّمانية أيام</w:t>
                  </w:r>
                </w:p>
              </w:tc>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28جانفي-04 فيفري 1957</w:t>
                  </w:r>
                </w:p>
              </w:tc>
            </w:tr>
            <w:tr>
              <w:trPr>
                <w:jc w:val="center"/>
              </w:trPr>
              <w:tc>
                <w:tcPr>
                  <w:tcW w:w="4252" w:type="dxa"/>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تأسيس الحكومة المؤقّتة للجمهورية الجزائرية</w:t>
                  </w:r>
                </w:p>
              </w:tc>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19سبتمبر 1958</w:t>
                  </w:r>
                </w:p>
              </w:tc>
            </w:tr>
          </w:tbl>
          <w:p>
            <w:pPr>
              <w:bidi/>
              <w:spacing w:before="0" w:after="40" w:line="351" w:lineRule="exact"/>
              <w:jc w:val="both"/>
              <w:rPr>
                <w:rFonts w:ascii="Traditional Arabic" w:hAnsi="Traditional Arabic" w:cs="Traditional Arabic" w:eastAsia="Traditional Arabic"/>
                <w:sz w:val="26"/>
                <w:szCs w:val="26"/>
                <w:rtl/>
              </w:rPr>
            </w:pPr>
          </w:p>
        </w:tc>
        <w:tc>
          <w:tcPr>
            <w:tcW w:w="907"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خصائص الثّورة الجزائرية وتأثيرها على الدّولة الفرنسية. </w:t>
            </w:r>
            <w:r>
              <w:rPr>
                <w:rFonts w:ascii="Traditional Arabic" w:hAnsi="Traditional Arabic" w:cs="Traditional Arabic" w:eastAsia="Traditional Arabic"/>
                <w:b/>
                <w:bCs/>
                <w:sz w:val="26"/>
                <w:szCs w:val="26"/>
                <w:rtl/>
                <w:lang w:bidi="ar-DZ"/>
              </w:rPr>
              <w:t xml:space="preserve">(تقبل كل مقدمة وظيفية)</w:t>
            </w:r>
          </w:p>
        </w:tc>
        <w:tc>
          <w:tcPr>
            <w:tcW w:w="907"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 نقاط</w:t>
            </w: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خصائص الثّورة الجزائرية: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الشّمولية والوحدة الزّمنية في كامل التّراب الوطني.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شعبيّة إذ احتضنتها جميع فئات الشّعب الجزائري.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التّنظيم المحكم على جميع الأصعدة داخليًا وخارجيًا.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الجمع بين النّضال السّياسي والكفاح المسلّح.</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القيادة الجماعية والعمل المشترك و التّخلّي عن النّظرة الحزبية الضيّقة.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المرجعية الفكرية من العقيدة الإسلامية ساهمت في توحيد السلوك والاتجاهات.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ثورة تحريرية تحرّرية بمساهمتها في تحرير شعوب أخرى.</w:t>
            </w:r>
          </w:p>
        </w:tc>
        <w:tc>
          <w:tcPr>
            <w:tcW w:w="907"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تأثير الثّورة الجزائرية على الدّولة الفرنسية: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توالي سقوط الحكومات الفرنسية لإخفاقها في مواجهة الثّورة التّحريرية.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تمرّد الجيش بمحاولة الانقلاب (1961) على النّظام السّياسي (الرّئيس ديغول) بعد رضوخه للتّفاوض.</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سقوط الجمهورية الرّابعة وقيام الجمهورية الخامسة في 01جوان 1958 بقيادة شارل ديغول.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ارهاق خزينة الدّولة الفرنسية بارتفاع تكاليف الحرب.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إجبار فرنسا على إعادة تقييم سياساتها تجاه مستعمراتها (الاعتراف باستقلال عدة مستعمرات) للتّمسك بالجزائر.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إرغام فرنسا على الجلوس إلى طاولة المفاوضات مع جبهة التّحرير الوطني.</w:t>
            </w:r>
          </w:p>
        </w:tc>
        <w:tc>
          <w:tcPr>
            <w:tcW w:w="907"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خصائص الثّورة زادت في قوّتها وتعاظمها وأضعفت الدّولة الفرنسية.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left"/>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07"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051"/>
        <w:gridCol w:w="907"/>
        <w:gridCol w:w="1247"/>
      </w:tblGrid>
      <w:tr>
        <w:trPr>
          <w:jc w:val="center"/>
        </w:trPr>
        <w:tc>
          <w:tcPr>
            <w:tcW w:w="8051"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الجغرافيا: 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المصطلحات: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اقتصاد السّوق</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نظام اقتصادي يقوم على قانون العرض والطلب وعلى المبادرة الحرّة والتّنافس بين المؤسّسات والشّركات وعدم تدخّل الدّولة في توجيهه.</w:t>
            </w:r>
          </w:p>
        </w:tc>
        <w:tc>
          <w:tcPr>
            <w:tcW w:w="907"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 نقاط</w:t>
            </w: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الاستثمار</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توظيف رؤوس أموال في مشاريع مختلفة قصد تحقيق الارباح.</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صندوق النّقد الدّولي</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مؤسّسة مالية دولية تأسّست في ديسمبر 1945، مقرّه واشنطن. يعمل على تسيير النّظام النّقدي الدّولي وضمان احترام الدّول لقواعد مؤتمر بروتون وودز وتقديم الاستشارة والدّعم والقروض للدّول التي تواجه مشاكل مالية واقتصادية.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التّعليق على الجدول:</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وثيقة جغرافية اقتصادية تمثّل معطيات إحصائية لأكبر الدّول المستوردة للبترول الخام في العالم لسنة 2025 صادرة عن مجلّة أبحاث الطّاقة 2025.</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تباين في الكمّيات المستوردة للدّول الواردة في الجدول لاختلاف درجات تقدّمها واحتياجاتها.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تتصدُّر الصّين الدّول المستوردة بسبب تحولاتها الاقتصادية المتنامية والمتسارعة.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تستورد باقي الدّول الأسيوية (الهند، كوريا الجنوبية، اليابان، سنغافورة) مجتمعة مايقارب 10.6مليون برميل يوميا لافتقارها لهذه المادّة ونشاطها الصّناعي المتزايد.</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ضعف الكمّية المستوردة من طرف الو م أ مقارنة مع الصّين والهند، بسبب لجوئها لاستغلال احتياطاتها وباعتبارها دولة منتجة ومصدّرة في آن واحد.</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ارتفاع واردات دول الاتّحاد الأوربي لافتقارها لهذه المادّة وتزايد حجم استهلاكها واحتياجاتها خاصّة في ظلّ الحرب الرّوسية-الأكرانية.</w:t>
            </w:r>
          </w:p>
        </w:tc>
        <w:tc>
          <w:tcPr>
            <w:tcW w:w="907"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5</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تزايد الطلب العالمي للبترول لحاجة الدّول الصّناعية الكبرى والدّول النّاشئة.</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الشّركات متعدّدة الجنسيات بين دورها في الاقتصاد العالمي وعلاقتها الاقتصادية مع دول الجنوب. </w:t>
            </w:r>
            <w:r>
              <w:rPr>
                <w:rFonts w:ascii="Traditional Arabic" w:hAnsi="Traditional Arabic" w:cs="Traditional Arabic" w:eastAsia="Traditional Arabic"/>
                <w:b/>
                <w:bCs/>
                <w:sz w:val="26"/>
                <w:szCs w:val="26"/>
                <w:rtl/>
                <w:lang w:bidi="ar-DZ"/>
              </w:rPr>
              <w:t xml:space="preserve">(تقبل كلّ مقدمة وظيفية)</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 نقاط</w:t>
            </w: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دور الشّركات متعدّدة الجنسيات في النّشاط الاقتصادي العالمي: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احتكار انتاج وتسويق عديد السّلع والبضائع لتعزيز أرباحها وإيراداتها.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تسريع المبادلات التّجارية بتوظيف الوسائل التّكنولوجية الحديثة.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إقامة التّحالفات الاستراتيجية فيما بينها بهدف تحقيق مصالحها المشتركة وتعزيز قدراتها التّنافسية والتّسويقية.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تنويع أنشطتها ومنتجاتها التي تمتدّ إلى معظم دول العالم نظرا لقوّتها وامكانياتها الهائلة.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التّأثير على أسعار بعض المواد في السّوق الدّولية والبورصات العالمية.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التّدخلات في توجيه سياسات الدول وقوانينها في المجال الاقتصادي.</w:t>
            </w:r>
          </w:p>
        </w:tc>
        <w:tc>
          <w:tcPr>
            <w:tcW w:w="907"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انعكاسات نشاطها على دول الجنوب: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أ- الانعكاسات السلبية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زيادة الهوّة بين العالم المتقدّم والمتخلّف، وتكريس التّبعية.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إضعاف الصّناعات الوطنية المحلية لزيادة سيطرتها الاقتصادية.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07" w:type="dxa"/>
            <w:tcBorders>
              <w:top w:val="nil"/>
            </w:tcBorders>
            <w:vAlign w:val="center"/>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4</w:t>
            </w:r>
          </w:p>
        </w:tc>
        <w:tc>
          <w:tcPr>
            <w:tcW w:w="1247"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051"/>
        <w:gridCol w:w="907"/>
        <w:gridCol w:w="1247"/>
      </w:tblGrid>
      <w:tr>
        <w:trPr>
          <w:jc w:val="center"/>
        </w:trPr>
        <w:tc>
          <w:tcPr>
            <w:tcW w:w="8051"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التّهرب من الضّرائب وتحويل الأرباح إلى بلدانها الأم وعدم الوفاء بالتزاماتها المالية تجاه دول الجنوب.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استغلال ونهب ثروات بلدان الجنوب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ب- الانعكاسات الإيجابية :</w:t>
            </w:r>
          </w:p>
        </w:tc>
        <w:tc>
          <w:tcPr>
            <w:tcW w:w="907"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tc>
        <w:tc>
          <w:tcPr>
            <w:tcW w:w="1247"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جرّ الشّركات المحلية لزيادة قدرتها التّنافسية بتطوير النّوعية وأساليب التّوزيع والتّرويج للحفاظ على استمراريتها.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نقل التّكنولوجيا والمعرفة الإدارية إلى البلدان النّامية، مما يعزّز الإنتاجية والكفاءة في الصّناعات المحلّية.</w:t>
            </w:r>
          </w:p>
        </w:tc>
        <w:tc>
          <w:tcPr>
            <w:tcW w:w="907"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تحكّم الشّركات متعدّدة الجنسيات في الاقتصاد العالمي، ساهم في انعكاسات سلبية أكثر منها إيجابية على دول الجنوب.   </w:t>
            </w:r>
            <w:r>
              <w:rPr>
                <w:rFonts w:ascii="Traditional Arabic" w:hAnsi="Traditional Arabic" w:cs="Traditional Arabic" w:eastAsia="Traditional Arabic"/>
                <w:b/>
                <w:bCs/>
                <w:sz w:val="26"/>
                <w:szCs w:val="26"/>
                <w:u w:val="single"/>
                <w:rtl/>
                <w:lang w:bidi="ar-DZ"/>
              </w:rPr>
              <w:t xml:space="preserve">تقبل كلّ خاتمة وظيفية</w:t>
            </w:r>
          </w:p>
          <w:p>
            <w:pPr>
              <w:bidi/>
              <w:spacing w:before="0" w:after="0" w:line="351" w:lineRule="exact"/>
              <w:jc w:val="left"/>
              <w:rPr>
                <w:rFonts w:ascii="Traditional Arabic" w:hAnsi="Traditional Arabic" w:cs="Traditional Arabic" w:eastAsia="Traditional Arabic"/>
                <w:sz w:val="26"/>
                <w:szCs w:val="26"/>
                <w:rtl/>
              </w:rPr>
            </w:pPr>
          </w:p>
          <w:p>
            <w:pPr>
              <w:bidi/>
              <w:spacing w:before="0" w:after="0" w:line="351" w:lineRule="exact"/>
              <w:jc w:val="left"/>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07" w:type="dxa"/>
            <w:tcBorders>
              <w:top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p>
      <w:pPr>
        <w:bidi/>
        <w:spacing w:before="200" w:after="30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u w:val="single"/>
          <w:rtl/>
          <w:lang w:bidi="ar-DZ"/>
        </w:rPr>
        <w:t xml:space="preserve">خريطة دول البينيلوكس</w:t>
      </w:r>
    </w:p>
    <w:p>
      <w:pPr>
        <w:bidi/>
        <w:spacing w:before="0" w:after="60"/>
        <w:jc w:val="center"/>
        <w:rPr>
          <w:rFonts w:ascii="Traditional Arabic" w:hAnsi="Traditional Arabic" w:cs="Traditional Arabic" w:eastAsia="Traditional Arabic"/>
          <w:sz w:val="26"/>
          <w:szCs w:val="26"/>
          <w:rtl/>
        </w:rPr>
      </w:pPr>
      <w:r>
        <w:drawing>
          <wp:inline xmlns:a="http://schemas.openxmlformats.org/drawingml/2006/main" xmlns:pic="http://schemas.openxmlformats.org/drawingml/2006/picture">
            <wp:extent cx="5220000" cy="6087323"/>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20000" cy="6087323"/>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81AC8600-B416-4500-B549-744B3AF10CAC}"/>
    <w:embedBold r:id="rIdTajBold" w:fontKey="{58D812B2-E31E-4556-9CB4-4C48BE22C5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مادة: التّاريخ والجغرافيا. الشّعبة: علوم تجريبية، رياضيات، تقني رياضي، فنون. بكالوريا دورة: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مادة: التّاريخ والجغرافيا. الشّعبة: علوم تجريبية، رياضيات، تقني رياضي، فنون. بكالوريا دورة: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مادة: التّاريخ والجغرافيا. الشّعبة: علوم تجريبية، رياضيات، تقني رياضي، فنون. بكالوريا دورة: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