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32" w:lineRule="atLeas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2023</w:t>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قَالَ: قَالَ رَسُولُ اللَّهِ ﷺ: «... وَلَا يَبِعْ بَعْضُكُمْ عَلَى بَيْعِ بَعْضٍ، وَكُونُوا عِبَادَ اللَّهِ إِخْوَانًا، الْمُسْلِمُ أَخُو الْمُسْلِمِ، لَا يَظْلِمُهُ، وَلَا يَخْذُلُهُ، وَلَا يَحْقِرُهُ، التَّقْوَى هَاهُنَا - وَيُشِيرُ إِلَى صَدْرِهِ ثَلَاثَ مَرَّاتٍ - بِحَسْبِ امْرِئٍ مِنَ الشَّرِّ أَنْ يَحْقِرَ أَخَاهُ الْمُسْلِمَ، كُلُّ الْمُسْلِمِ عَلَى الْمُسْلِمِ حَرَامٌ، دَمُهُ وَمَالُهُ وَعِرْضُهُ»</w:t>
      </w:r>
      <w:r>
        <w:rPr>
          <w:rFonts w:ascii="Traditional Arabic" w:hAnsi="Traditional Arabic" w:cs="Traditional Arabic" w:eastAsia="Traditional Arabic"/>
          <w:b/>
          <w:bCs/>
          <w:sz w:val="22"/>
          <w:szCs w:val="22"/>
          <w:rtl/>
          <w:lang w:bidi="ar-DZ"/>
        </w:rPr>
        <w:t xml:space="preserve">  [أخرجه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الحديث نهي عن أخلاق سيّئة لِما لها من أثر على صحة المسلم وعقيدته.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سمِّ نوع الصّحة التي تتأثر بهذه الأخلاق السّيّئة، واذكر مفهومها، واستنتِج طريقا من طُرق حفظها من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استخرج من الحديث أثرا من آثار العقيدة الإسلاميّة على المجتمع، ثمّ اشرحه، وحدّد محلّ الشّاهد.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حَرّم الإسلام الاعتداء على الأعراض لحفظ النّسل. حدّد من الحديث المقاصد التي تشترك مع حِفظ النّسل، ثمّ اربط تلك المقاصد بأنواع العقوبات التي شُرِعت لحفظها.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يَحْرُمُ "عقد الزواج وقت صلاة الجمعة" قياسًا على "حرمة البَيْعِ وقت صلاة الجمعة" لعلّة جامعة بينهما.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استنبط هذه العلّة، ثم بيّن شروط المقيس (الفرع).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بَرهن من خلال القيّاس على مُرونة الشّريعة الإسلاميّة.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﴿وَإِن كَانُوا إِخْوَةً رِّجَالًا وَنِسَاءً فَلِلذَّكَرِ مِثْلُ حَظِّ الْأُنثَيَيْنِ ۗ يُبَيِّنُ اللَّهُ لَكُمْ أَن تَضِلُّوا ۗ وَاللَّهُ بِكُلِّ شَيْءٍ عَلِيمٌ﴾</w:t>
      </w:r>
      <w:r>
        <w:rPr>
          <w:rFonts w:ascii="Traditional Arabic" w:hAnsi="Traditional Arabic" w:cs="Traditional Arabic" w:eastAsia="Traditional Arabic"/>
          <w:b/>
          <w:bCs/>
          <w:sz w:val="22"/>
          <w:szCs w:val="22"/>
          <w:rtl/>
          <w:lang w:bidi="ar-DZ"/>
        </w:rPr>
        <w:t xml:space="preserve">  [النساء: 176]</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استخلِص من الآية سببًا من أسباب الميراث، ثم حدّد محلّ الشّاهد، واشرح هذا السّبب.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ميّز بين مَنْ يرث وطريقة إرثه ومَنْ لا يرث مِن هؤلاء الأشخاص: الزّوج - ابن البنت - البنت.</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يدَّعِي المُسْتَشْرِقُونَ أنّ في قوله تعالى: ﴿فَلِلذَّكَرِ مِثْلُ حَظِّ الْأُنثَيَيْنِ﴾ ظُلمٌ للمرأة، رغم أنّ علم الميراث يقوم على قيّم منها: العدل.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صنّف قيمة العدل، ثمّ اختر القيمة التي يُحَقّقُهَا الالتزام بعلم الميراث على مستوى الفرد، واشرحها.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فَنِّدْ شُبْهَة المُستشرقين اعتمادا على ما درست، ثم أبرز دور العقل في ذلك.</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عَائِشَةَ رضي الله عنها قَالَتْ: قَالَ رَسُولُ اللَّهِ ﷺ: «لَا يَحِلُّ دَمُ امْرِئٍ مُسْلِمٍ يَشْهَدُ أَنْ لَا إِلَهَ إِلَّا اللَّهُ وَأَنَّ مُحَمَّدًا رَسُولُ اللَّهِ إِلَّا بِإِحْدَى ثَلَاثٍ: رَجُلٌ زَنَى بَعْدَ إِحْصَانٍ فَإِنَّهُ يُرْجَمُ، وَرَجُلٌ خَرَجَ مُحَارِبًا لِلَّهِ وَرَسُولِهِ فَإِنَّهُ يُقْتَلُ أَوْ يُصْلَبُ أَوْ يُنْفَى مِنَ الْأَرْضِ، أَوْ يَقْتُلُ نَفْسًا فَيُقْتَلُ بِهَا»</w:t>
      </w:r>
      <w:r>
        <w:rPr>
          <w:rFonts w:ascii="Traditional Arabic" w:hAnsi="Traditional Arabic" w:cs="Traditional Arabic" w:eastAsia="Traditional Arabic"/>
          <w:b/>
          <w:bCs/>
          <w:sz w:val="22"/>
          <w:szCs w:val="22"/>
          <w:rtl/>
          <w:lang w:bidi="ar-DZ"/>
        </w:rPr>
        <w:t xml:space="preserve">  [رواه أبو داود]</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الصّحابيّة راوية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أشار الحديث إلى خاصية من خصائص العقوبة في الإسلام.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سمّ هذه الخاصيّة، وحدّد ما يدل عليها من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ثلاث حِكم من تشريع العقوبات في الإسلام.</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نصّ الحديث على جُملة من الجرائم وعقوباتها.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جريمتين وعقوبتيهما من الحديث، ثمّ بيّن نوع العقوبة.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الجرائم منكرات تتعدّد مراتب تغييرها. سمّ المرتبة الواردة في الحديث، واستدلّ عليها بنص شرعي.</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في الحديث إشارة إلى عناية الإسلام بالصّحة.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حدّد نوع هذه 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كيفيّة المحافظة عليها من الحديث.</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حُكمًا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الأوّل: «... إنّ الله سبحانه ما شرّع حكماً إلا لمصلحة، وإنّ مصالح العباد هي الغاية المقصودة مِن تشريع الأحكام، فإذا ساوت الواقعة التي لا نصّ فيها الواقعةَ المنصوصَ عليها في علّة الحكم، قضت الحكمة والعدالة أن تساويها في الحكم تحقيقا للمصلحة...».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الثّاني: «... مصالح النّاس تتجدّد ولا تتناهى، فلو لم تُشرع الأحكام لِما يتجدّد من مصالح النّاس، وقف التّشريع عن مسايرة تطوّرات النّاس ومصالحهم، وهذا لا يتّفق وما قُصد بالتّشريع من تحقيق مصالح النّاس...».</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2"/>
          <w:szCs w:val="22"/>
          <w:rtl/>
          <w:lang w:bidi="ar-DZ"/>
        </w:rPr>
        <w:t xml:space="preserve">[علم أصول الفقه، لعبد الوهاب خلاف، ص 58، 85، ط 8] (بتصرف)</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استنبط من السّند الأول ما يلي:</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مصدرًا من مصادر التشريع الإسلامي، ثم استخلص تعريفه من السّند نفسه.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المقصد العام من التشريع الإسلامي موظفا العبارة الدّالة عليه من السّند.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السّند الثّاني مصدرٌ تشريعيٌّ آخر، استخرجه. ثُمّ بيّن وجهًا للاتفاق بين المصدرين من خلال السّندين.</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استخلص من السَّند الثاني خاصيّة من خصائص الرّسالة الخاتمة، ثم اشرحها.</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F26091F0-B507-4E0A-B86E-C9A7BCF815EE}"/>
    <w:embedBold r:id="rIdTajBold" w:fontKey="{3AD8104E-4EF1-4674-BEB0-E0EC60F9E2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