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bidi/>
        <w:spacing w:before="0" w:after="60" w:line="378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الجمهورية الجزائرية الديمقراطية الشعبية</w:t>
      </w:r>
    </w:p>
    <w:tbl>
      <w:tblPr>
        <w:bidiVisual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وزارة التربية الوطنية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الديوان الوطني للامتحانات والمسابقات</w:t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امتحان بكالوريا التعليم الثانوي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دورة: جوان 2011</w:t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الشعبة: جميع الشعب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اختبار في مادة: العلوم الإسلامية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المدة: ساعتان ونصف</w:t>
            </w:r>
          </w:p>
        </w:tc>
      </w:tr>
    </w:tbl>
    <w:p>
      <w:pPr>
        <w:bidi/>
        <w:spacing w:before="120" w:after="60" w:line="378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على المترشح أن يختار أحد الموضوعين التاليين:</w:t>
      </w:r>
    </w:p>
    <w:p>
      <w:pPr>
        <w:keepNext/>
        <w:bidi/>
        <w:spacing w:before="60" w:after="100" w:line="405" w:lineRule="atLeast"/>
        <w:jc w:val="center"/>
        <w:rPr>
          <w:rFonts w:ascii="Simplified Arabic" w:hAnsi="Simplified Arabic" w:cs="Simplified Arabic" w:eastAsia="Simplified Arabic"/>
          <w:sz w:val="30"/>
          <w:szCs w:val="30"/>
          <w:rtl/>
        </w:rPr>
      </w:pPr>
      <w:r>
        <w:rPr>
          <w:rFonts w:ascii="Simplified Arabic" w:hAnsi="Simplified Arabic" w:cs="Simplified Arabic" w:eastAsia="Simplified Arabic"/>
          <w:b/>
          <w:bCs/>
          <w:sz w:val="30"/>
          <w:szCs w:val="30"/>
          <w:rtl/>
          <w:lang w:bidi="ar-DZ"/>
        </w:rPr>
        <w:t xml:space="preserve">الموضوع الأول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u w:val="single"/>
          <w:sz w:val="28"/>
          <w:szCs w:val="28"/>
          <w:rtl/>
          <w:lang w:bidi="ar-DZ"/>
        </w:rPr>
        <w:t xml:space="preserve">الجزء الأول: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(14 نقطة)</w:t>
      </w:r>
    </w:p>
    <w:p>
      <w:pPr>
        <w:keepNext/>
        <w:bidi/>
        <w:spacing w:before="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قال الله تعالى: </w:t>
      </w:r>
    </w:p>
    <w:p>
      <w:pPr>
        <w:pBdr>
          <w:top w:val="single" w:sz="12" w:space="4" w:color="000000"/>
          <w:left w:val="single" w:sz="12" w:space="4" w:color="000000"/>
          <w:bottom w:val="single" w:sz="12" w:space="4" w:color="000000"/>
          <w:right w:val="single" w:sz="12" w:space="4" w:color="000000"/>
        </w:pBdr>
        <w:bidi/>
        <w:spacing w:before="0" w:after="20" w:line="432" w:lineRule="atLeast"/>
        <w:ind w:left="700" w:right="700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32"/>
          <w:szCs w:val="32"/>
          <w:rtl/>
          <w:lang w:bidi="ar-DZ"/>
        </w:rPr>
        <w:t xml:space="preserve">﴿الَّذِينَ آمَنُوا وَتَطْمَئِنُّ قُلُوبُهُم بِذِكْرِ اللَّهِ ۗ أَلَا بِذِكْرِ اللَّهِ تَطْمَئِنُّ الْقُلُوبُ﴾</w:t>
      </w:r>
    </w:p>
    <w:p>
      <w:pPr>
        <w:bidi/>
        <w:spacing w:before="0" w:after="80" w:line="324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[سورة الرعد/28]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u w:val="single"/>
          <w:sz w:val="28"/>
          <w:szCs w:val="28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في الآية إشارة إلى اهتمام القرآن الكريم بالصحّة. إلى أي قسم من أقسام الصحّة أشارت الآية؟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يحقّق الإسلام هذه الصحّة بتنمية صفات أساسية في شخصية المسلم. اذكر اثنتين منها مع الشّرح.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3/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تكلّم عن مظهرين من مظاهر محافظة القرآن الكريم على الصحّة الجسمية للإنسان من خلال ما درست.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4/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دلّت الآية الكريمة على قيمة فردية وهي طمأنينة القلب، اذكر أربعا من هذه القيم من خلال ما درست.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5/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استخرج من الآية الكريمة ثلاث فوائد.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u w:val="single"/>
          <w:sz w:val="28"/>
          <w:szCs w:val="28"/>
          <w:rtl/>
          <w:lang w:bidi="ar-DZ"/>
        </w:rPr>
        <w:t xml:space="preserve">الجزء الثاني: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(06 نقاط)</w:t>
      </w:r>
    </w:p>
    <w:p>
      <w:pPr>
        <w:bidi/>
        <w:spacing w:before="0" w:after="4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حرّم الله تعالى الرّبا لمَا فيه من المفاسد الاجتماعية والاقتصادية.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u w:val="single"/>
          <w:sz w:val="28"/>
          <w:szCs w:val="28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اذكر قاعدتين من قواعد استبعاد المبادلات الرّبوية.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اذكر أنواع الرّبا.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3/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اذكر مراحل تحريم الرّبا.</w:t>
      </w:r>
    </w:p>
    <w:p>
      <w:pPr>
        <w:keepNext/>
        <w:pageBreakBefore/>
        <w:bidi/>
        <w:spacing w:before="60" w:after="100" w:line="405" w:lineRule="atLeast"/>
        <w:jc w:val="center"/>
        <w:rPr>
          <w:rFonts w:ascii="Simplified Arabic" w:hAnsi="Simplified Arabic" w:cs="Simplified Arabic" w:eastAsia="Simplified Arabic"/>
          <w:sz w:val="30"/>
          <w:szCs w:val="30"/>
          <w:rtl/>
        </w:rPr>
      </w:pPr>
      <w:r>
        <w:rPr>
          <w:rFonts w:ascii="Simplified Arabic" w:hAnsi="Simplified Arabic" w:cs="Simplified Arabic" w:eastAsia="Simplified Arabic"/>
          <w:b/>
          <w:bCs/>
          <w:sz w:val="30"/>
          <w:szCs w:val="30"/>
          <w:rtl/>
          <w:lang w:bidi="ar-DZ"/>
        </w:rPr>
        <w:t xml:space="preserve">الموضوع الثاني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u w:val="single"/>
          <w:sz w:val="28"/>
          <w:szCs w:val="28"/>
          <w:rtl/>
          <w:lang w:bidi="ar-DZ"/>
        </w:rPr>
        <w:t xml:space="preserve">الجزء الأول: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(14 نقطة)</w:t>
      </w:r>
    </w:p>
    <w:p>
      <w:pPr>
        <w:pBdr>
          <w:top w:val="single" w:sz="12" w:space="4" w:color="000000"/>
          <w:left w:val="single" w:sz="12" w:space="4" w:color="000000"/>
          <w:bottom w:val="single" w:sz="12" w:space="4" w:color="000000"/>
          <w:right w:val="single" w:sz="12" w:space="4" w:color="000000"/>
        </w:pBdr>
        <w:bidi/>
        <w:spacing w:before="0" w:after="6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عن أبي هريرة رضي الله عنه، أنّ رسول الله صلّى الله عليه وسلم قال: "إِذَا مَاتَ الإِنْسَانُ انْقَطَعَ عَنْهُ عَمَلُهُ إِلاَّ مِنْ ثَلاَثَةٍ: إِلاَّ مِنْ صَدَقَةٍ جَارِيَةٍ، أَوْ عِلْمٍ يُنْتَفَعُ بِهِ، أَوْ وَلَدٍ صَالِحٍ يَدْعُو لَهُ".</w:t>
      </w:r>
      <w:r>
        <w:rPr>
          <w:rFonts w:ascii="Simplified Arabic" w:hAnsi="Simplified Arabic" w:cs="Simplified Arabic" w:eastAsia="Simplified Arabic"/>
          <w:b/>
          <w:bCs/>
          <w:sz w:val="22"/>
          <w:szCs w:val="22"/>
          <w:rtl/>
          <w:lang w:bidi="ar-DZ"/>
        </w:rPr>
        <w:t xml:space="preserve">  [رواه الإمام مسلم]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u w:val="single"/>
          <w:sz w:val="28"/>
          <w:szCs w:val="28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اشرح العبارات التّالية: "صدقة جارية"، "علم ينتفع به"، "ولد صالح يدعو له".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عرّف الوقف لغة واصطلاحا.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3/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ما هو المَردود الاقتصادي للوقف؟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4/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أشار الحديث الشّريف إلى قيمتين من القيم القرآنية. اذكرهما وصنّفهما.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5/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استخرج من الحديث الشّريف أربع فوائد.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u w:val="single"/>
          <w:sz w:val="28"/>
          <w:szCs w:val="28"/>
          <w:rtl/>
          <w:lang w:bidi="ar-DZ"/>
        </w:rPr>
        <w:t xml:space="preserve">الجزء الثاني: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(06 نقاط)</w:t>
      </w:r>
    </w:p>
    <w:p>
      <w:pPr>
        <w:bidi/>
        <w:spacing w:before="0" w:after="4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حافظت الشّريعة الإسلامية على الأنساب من خلال تحريم التبنّي وتشريع الكفالة.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u w:val="single"/>
          <w:sz w:val="28"/>
          <w:szCs w:val="28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بيّن طُرق إثبات النّسب في الشّريعة الإسلامية.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ما المقصود بالبصمة الوراثية؟ وهل تُعتبر دليلا من أدلّة إثبات النّسب؟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3/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عرّف الكفالة لغة واصطلاحا، مع ذكر دليل مشروعيّتها من القرآن والسنّة.</w:t>
      </w:r>
    </w:p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