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351"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6"/>
                <w:szCs w:val="26"/>
                <w:rtl/>
                <w:lang w:bidi="ar-DZ"/>
              </w:rPr>
              <w:t xml:space="preserve">عناصر الإجابة (الموضوع الأول)</w:t>
            </w:r>
          </w:p>
        </w:tc>
        <w:tc>
          <w:tcPr>
            <w:tcW w:w="1800" w:type="dxa"/>
            <w:gridSpan w:val="2"/>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tblHeader/>
          <w:jc w:val="center"/>
        </w:trPr>
        <w:tc>
          <w:tcPr>
            <w:tcW w:w="8406"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مجزأة</w:t>
            </w: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مجموع</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الأول: [14 نقطة]</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sz w:val="24"/>
                <w:szCs w:val="24"/>
                <w:rtl/>
                <w:lang w:bidi="ar-DZ"/>
              </w:rPr>
              <w:t xml:space="preserve">لغة: مصدر عقد يعقد عقدة وهو الربط والإحكام.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اصطلاحا: الإيمان الجازم بالله وما يجب له في ألوهيته وربوبيته وأسمائه وصفاته، وملائكته وكتبه ورسله واليوم الآخر والقدر خيره وشره.</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sz w:val="24"/>
                <w:szCs w:val="24"/>
                <w:rtl/>
                <w:lang w:bidi="ar-DZ"/>
              </w:rPr>
              <w:t xml:space="preserve">تُمكّن الإنسان من معرفة حقيقة وجوده في الحياة، وحقيقة مصيره بعد الموت.</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هي أساس قبول الأعمال.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لها دور في الاستقامة وتصحيح السلوك.</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تحقق الأمن والصحة النفسية.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ضمان النجاة والفوز في الآخرة.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تدفع صاحبها إلى العمل والاجتهاد لتحقيق مرضاة الله عز وجل.</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w:t>
            </w:r>
            <w:r>
              <w:rPr>
                <w:rFonts w:ascii="Simplified Arabic" w:hAnsi="Simplified Arabic" w:cs="Simplified Arabic" w:eastAsia="Simplified Arabic"/>
                <w:sz w:val="24"/>
                <w:szCs w:val="24"/>
                <w:rtl/>
                <w:lang w:bidi="ar-DZ"/>
              </w:rPr>
              <w:t xml:space="preserve">وسيلة تثبيت العقيدة: التذكير بقدرة الله تعالى ومراقبته للإنسان.</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01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4/ </w:t>
            </w:r>
            <w:r>
              <w:rPr>
                <w:rFonts w:ascii="Simplified Arabic" w:hAnsi="Simplified Arabic" w:cs="Simplified Arabic" w:eastAsia="Simplified Arabic"/>
                <w:sz w:val="24"/>
                <w:szCs w:val="24"/>
                <w:rtl/>
                <w:lang w:bidi="ar-DZ"/>
              </w:rPr>
              <w:t xml:space="preserve">تربي الإنسان على إخلاص العمل لله في السرّ والعلانية.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تثبيت العقيدة وتعميقها في النفس.</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الخوف من الله، ليخشع القلب ويستسلم لله تعالى.</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الشعور الدائم بالرقابة الإلهية، ممّا يؤدي إلى استقامة سلوك الفرد.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المبادرة إلى الطاعات وتجنب المعاصي.</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5/ </w:t>
            </w:r>
            <w:r>
              <w:rPr>
                <w:rFonts w:ascii="Simplified Arabic" w:hAnsi="Simplified Arabic" w:cs="Simplified Arabic" w:eastAsia="Simplified Arabic"/>
                <w:sz w:val="24"/>
                <w:szCs w:val="24"/>
                <w:rtl/>
                <w:lang w:bidi="ar-DZ"/>
              </w:rPr>
              <w:t xml:space="preserve">بيان قدرة الله.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التذكير برقابة الله للإنسان ومحاسبته.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كل ما في الكون مكتوب عند الله تعالى في اللوح المحفوظ.</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علم الله تعالى وَسِعَ كل شيء.</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الملائكة تكتب أعمال العباد.</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04</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الثاني: [06 نقاط]</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sz w:val="24"/>
                <w:szCs w:val="24"/>
                <w:rtl/>
                <w:lang w:bidi="ar-DZ"/>
              </w:rPr>
              <w:t xml:space="preserve">لغة: التقدير والمساواة.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شرعا: مساواة أمر لأمر آخر في الحكم الثابت له لاشتراكهما في علة الحكم.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أو هو إلحاق أصل بفرع لعلة جامعة بينهما.</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sz w:val="24"/>
                <w:szCs w:val="24"/>
                <w:rtl/>
                <w:lang w:bidi="ar-DZ"/>
              </w:rPr>
              <w:t xml:space="preserve">المقيس عليه (الأصل).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المقيس (الفرع).</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الحكم.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العلة.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w:t>
            </w:r>
            <w:r>
              <w:rPr>
                <w:rFonts w:ascii="Simplified Arabic" w:hAnsi="Simplified Arabic" w:cs="Simplified Arabic" w:eastAsia="Simplified Arabic"/>
                <w:sz w:val="24"/>
                <w:szCs w:val="24"/>
                <w:rtl/>
                <w:lang w:bidi="ar-DZ"/>
              </w:rPr>
              <w:t xml:space="preserve">القياس دليل من أدلة الأحكام وهو يفيد غلبة الظن، فهو حجة يجب العمل به، وهو مشروع بالقرآن والسنة.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أ- من القرآن: قوله تعالى: ﴿... فاعتبروا يا أولي الأبصار ...﴾ سورة الحشر/02.</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وجه الاستدلال: أمر الله بوجوب الاعتبار، والقياس نوع من الاعتبار.</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ب- من السنة: روي أنّ امرأة خَثْعَمِيّة جاءت إلى الرسول صلى الله عليه وسلّم، وقالت له: "إنّ أبي أدركته فريضة الحجّ، أفأحجّ عنه؟ فقال لها: أرأيتِ لو كان على أبيكِ دَيْنٌ فقضيتيه أكان ينفعه ذلك؟ قالت: نعم، قال: فدَيْنُ الله أحقّ بالقضاء" رواه الإمام مالك.</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وجه الاستدلال: قاس النبي صلى الله عليه وسلّم جواز الحج عن الميت على جواز قضاء ديونه بعد موته.</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 (الآية 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وجه الاستدلال 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الحديث 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وجه الاستدلال 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bl>
    <w:p>
      <w:pPr>
        <w:bidi/>
        <w:spacing w:before="0" w:after="0" w:line="108" w:lineRule="atLeast"/>
        <w:jc w:val="both"/>
        <w:rPr>
          <w:rFonts w:ascii="Simplified Arabic" w:hAnsi="Simplified Arabic" w:cs="Simplified Arabic" w:eastAsia="Simplified Arabic"/>
          <w:sz w:val="8"/>
          <w:szCs w:val="8"/>
          <w:rtl/>
        </w:rPr>
      </w:pPr>
    </w:p>
    <w:tbl>
      <w:tblPr>
        <w:bidiVisual/>
        <w:tblW w:w="1020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80" w:type="dxa"/>
          <w:right w:w="80" w:type="dxa"/>
        </w:tblCellMar>
        <w:tblLook w:val="04A0" w:firstRow="1" w:lastRow="0" w:firstColumn="1" w:lastColumn="0" w:noHBand="0" w:noVBand="1"/>
      </w:tblPr>
      <w:tblGrid>
        <w:gridCol w:w="8406"/>
        <w:gridCol w:w="900"/>
        <w:gridCol w:w="900"/>
      </w:tblGrid>
      <w:tr>
        <w:trPr>
          <w:tblHeader/>
          <w:jc w:val="center"/>
        </w:trPr>
        <w:tc>
          <w:tcPr>
            <w:tcW w:w="8406" w:type="dxa"/>
            <w:vMerge w:val="restart"/>
            <w:vAlign w:val="center"/>
          </w:tcPr>
          <w:p>
            <w:pPr>
              <w:bidi/>
              <w:spacing w:before="0" w:after="0" w:line="351"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6"/>
                <w:szCs w:val="26"/>
                <w:rtl/>
                <w:lang w:bidi="ar-DZ"/>
              </w:rPr>
              <w:t xml:space="preserve">عناصر الإجابة (الموضوع الثاني)</w:t>
            </w:r>
          </w:p>
        </w:tc>
        <w:tc>
          <w:tcPr>
            <w:tcW w:w="1800" w:type="dxa"/>
            <w:gridSpan w:val="2"/>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العلامة</w:t>
            </w:r>
          </w:p>
        </w:tc>
      </w:tr>
      <w:tr>
        <w:trPr>
          <w:tblHeader/>
          <w:jc w:val="center"/>
        </w:trPr>
        <w:tc>
          <w:tcPr>
            <w:tcW w:w="8406" w:type="dxa"/>
            <w:vMerge/>
            <w:vAlign w:val="top"/>
          </w:tcPr>
          <w:p>
            <w:pPr>
              <w:bidi/>
              <w:spacing w:before="0" w:after="0" w:line="324" w:lineRule="atLeast"/>
              <w:jc w:val="both"/>
              <w:rPr>
                <w:rFonts w:ascii="Simplified Arabic" w:hAnsi="Simplified Arabic" w:cs="Simplified Arabic" w:eastAsia="Simplified Arabic"/>
                <w:sz w:val="24"/>
                <w:szCs w:val="24"/>
                <w:rtl/>
              </w:rPr>
            </w:pP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مجزأة</w:t>
            </w:r>
          </w:p>
        </w:tc>
        <w:tc>
          <w:tcPr>
            <w:tcW w:w="900" w:type="dxa"/>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مجموع</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الأول: [14 نقطة]</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b/>
                <w:bCs/>
                <w:sz w:val="24"/>
                <w:szCs w:val="24"/>
                <w:rtl/>
                <w:lang w:bidi="ar-DZ"/>
              </w:rPr>
              <w:t xml:space="preserve">منهج القرآن الكريم في الوقاية من الأمراض: المقصود بالوقاية من الأمراض: هي ما أوجبه الله من وقاية الجسم من حدوث الأمراض نتيجة لإهمال قواعد الصحة العامة، أو التفريط في الطعام أو الشراب أو الانغماس في ملذات حسية تضر الجسم وغيرها، ولأن من مقاصد الإسلام حفظ النفس جعل: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تشريع الطهارة خمس مرات في اليوم، وجعلها شرطا لصحة العبادة.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تحريم الخمر وكل ما يذهب العقل.</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النهي عن الإسراف في المأكل والمشرب.</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تحريم العلاقات غير الشرعية.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sz w:val="24"/>
                <w:szCs w:val="24"/>
                <w:rtl/>
                <w:lang w:bidi="ar-DZ"/>
              </w:rPr>
              <w:t xml:space="preserve">القيم الأسرية: المودة والرحمة.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المعاشرة بالمعروف.</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التكافل الأسري.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شرح واحدة منها: المودة والرحمة: وهي أساس سعادة الأسرة ويقصد بها اللطف في التعامل مع الأهل، والتجاوز عن الأخطاء، وهما وقود استمرار العلاقة الأسرية.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المعاشرة بالمعروف: ويقصد بها حسن التعامل بين الزوجين وإحسان كل واحد منهما للآخر.</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التكافل الأسري: وهو التعاون بين أفراد الأسرة، ويكون بين الزوجين بالتعاون على تقاسم أعباء البيت وتكاليف الأسرة.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3×0.5</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 (الشرح)</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02.5</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w:t>
            </w:r>
            <w:r>
              <w:rPr>
                <w:rFonts w:ascii="Simplified Arabic" w:hAnsi="Simplified Arabic" w:cs="Simplified Arabic" w:eastAsia="Simplified Arabic"/>
                <w:sz w:val="24"/>
                <w:szCs w:val="24"/>
                <w:rtl/>
                <w:lang w:bidi="ar-DZ"/>
              </w:rPr>
              <w:t xml:space="preserve">1) الحق في الأجرة.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الحق في الراحة.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الحق في التأمين.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الحق في الترقية.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5) حق العامل في الحصول على حقوقه المتعاقد عليها.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6) الحق في المحافظة على كرامته.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7) الحق في الشكوى والتقاضي.</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8) حقه في أداء ما افترض عليه.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9) الحق في الاستمرار في عمله إذا نقصت مقدرته.</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01.5</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4/ </w:t>
            </w:r>
            <w:r>
              <w:rPr>
                <w:rFonts w:ascii="Simplified Arabic" w:hAnsi="Simplified Arabic" w:cs="Simplified Arabic" w:eastAsia="Simplified Arabic"/>
                <w:sz w:val="24"/>
                <w:szCs w:val="24"/>
                <w:rtl/>
                <w:lang w:bidi="ar-DZ"/>
              </w:rPr>
              <w:t xml:space="preserve">1) تشتت الأسر.</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انتشار الحقد والكراهية بين الأبناء.</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الأزمات والعقد النفسية عند الأبناء.</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كثرة الجرائم والآفات الاجتماعية.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5) عقوق الوالدين.</w:t>
            </w:r>
          </w:p>
          <w:p>
            <w:pPr>
              <w:bidi/>
              <w:spacing w:before="0" w:after="10" w:line="297"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u w:val="single"/>
                <w:sz w:val="22"/>
                <w:szCs w:val="22"/>
                <w:rtl/>
                <w:lang w:bidi="ar-DZ"/>
              </w:rPr>
              <w:t xml:space="preserve">ملاحظة: </w:t>
            </w:r>
            <w:r>
              <w:rPr>
                <w:rFonts w:ascii="Simplified Arabic" w:hAnsi="Simplified Arabic" w:cs="Simplified Arabic" w:eastAsia="Simplified Arabic"/>
                <w:sz w:val="22"/>
                <w:szCs w:val="22"/>
                <w:rtl/>
                <w:lang w:bidi="ar-DZ"/>
              </w:rPr>
              <w:t xml:space="preserve">كل سبب صحيح تمنح للتلميذ علامة.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5/ </w:t>
            </w:r>
            <w:r>
              <w:rPr>
                <w:rFonts w:ascii="Simplified Arabic" w:hAnsi="Simplified Arabic" w:cs="Simplified Arabic" w:eastAsia="Simplified Arabic"/>
                <w:sz w:val="24"/>
                <w:szCs w:val="24"/>
                <w:rtl/>
                <w:lang w:bidi="ar-DZ"/>
              </w:rPr>
              <w:t xml:space="preserve">1) دفع الجزية.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احترام نظم وقوانين الدولة المسلمة.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ترك قتال المسلمين.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احترام مشاعر ومقدسات المسلمين.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5) عدم نشر ديانتهم أو إظهار طقوسهم.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6) ترك ما فيه منكر.</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6/ </w:t>
            </w:r>
            <w:r>
              <w:rPr>
                <w:rFonts w:ascii="Simplified Arabic" w:hAnsi="Simplified Arabic" w:cs="Simplified Arabic" w:eastAsia="Simplified Arabic"/>
                <w:sz w:val="24"/>
                <w:szCs w:val="24"/>
                <w:rtl/>
                <w:lang w:bidi="ar-DZ"/>
              </w:rPr>
              <w:t xml:space="preserve">1) تحريم كل ما يضر الجسم من طعام وشراب وغيرهما.</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جواز تناول بعض المحرمات عند الضرورة.</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سعة مغفرة الله تعالى ورحمته بعباده.</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اعتناء القرآن الكريم بكل ما يحافظ على صحة الإنسان.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5) تحريم الشرك بالله تعالى.</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6) تحريم الانتفاع بكل ما حرمه الله عز وجل من مطعومات ومشروبات.</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7) تحريم الأكل من كل ما ذبح لغير الله.</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3×1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03</w:t>
            </w:r>
          </w:p>
        </w:tc>
      </w:tr>
      <w:tr>
        <w:trPr>
          <w:jc w:val="center"/>
        </w:trPr>
        <w:tc>
          <w:tcPr>
            <w:tcW w:w="10206" w:type="dxa"/>
            <w:gridSpan w:val="3"/>
            <w:vAlign w:val="top"/>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الجزء الثاني: [06 نقاط]</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1/ </w:t>
            </w:r>
            <w:r>
              <w:rPr>
                <w:rFonts w:ascii="Simplified Arabic" w:hAnsi="Simplified Arabic" w:cs="Simplified Arabic" w:eastAsia="Simplified Arabic"/>
                <w:sz w:val="24"/>
                <w:szCs w:val="24"/>
                <w:rtl/>
                <w:lang w:bidi="ar-DZ"/>
              </w:rPr>
              <w:t xml:space="preserve">لغة: الخضوع والانقياد والاستسلام.</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اصطلاحا: هو الاستسلام والخضوع لله تعالى في كل أوامره ونواهيه.</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w:t>
            </w:r>
          </w:p>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1</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 </w:t>
            </w:r>
            <w:r>
              <w:rPr>
                <w:rFonts w:ascii="Simplified Arabic" w:hAnsi="Simplified Arabic" w:cs="Simplified Arabic" w:eastAsia="Simplified Arabic"/>
                <w:sz w:val="24"/>
                <w:szCs w:val="24"/>
                <w:rtl/>
                <w:lang w:bidi="ar-DZ"/>
              </w:rPr>
              <w:t xml:space="preserve">وحدة المصدر.</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وحدة الغاية.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3/ </w:t>
            </w:r>
            <w:r>
              <w:rPr>
                <w:rFonts w:ascii="Simplified Arabic" w:hAnsi="Simplified Arabic" w:cs="Simplified Arabic" w:eastAsia="Simplified Arabic"/>
                <w:sz w:val="24"/>
                <w:szCs w:val="24"/>
                <w:rtl/>
                <w:lang w:bidi="ar-DZ"/>
              </w:rPr>
              <w:t xml:space="preserve">التأكيد.</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التصحيح.</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النسخ.</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الهيمنة.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2×0.5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01</w:t>
            </w:r>
          </w:p>
        </w:tc>
      </w:tr>
      <w:tr>
        <w:trPr>
          <w:jc w:val="center"/>
        </w:trPr>
        <w:tc>
          <w:tcPr>
            <w:tcW w:w="8406" w:type="dxa"/>
            <w:vAlign w:val="top"/>
          </w:tcPr>
          <w:p>
            <w:pPr>
              <w:bidi/>
              <w:spacing w:before="0" w:after="10" w:line="324" w:lineRule="atLeast"/>
              <w:jc w:val="both"/>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4/ </w:t>
            </w:r>
            <w:r>
              <w:rPr>
                <w:rFonts w:ascii="Simplified Arabic" w:hAnsi="Simplified Arabic" w:cs="Simplified Arabic" w:eastAsia="Simplified Arabic"/>
                <w:sz w:val="24"/>
                <w:szCs w:val="24"/>
                <w:rtl/>
                <w:lang w:bidi="ar-DZ"/>
              </w:rPr>
              <w:t xml:space="preserve">1- التعاون.</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2- التعايش.</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3- التعارف.</w:t>
            </w:r>
          </w:p>
          <w:p>
            <w:pPr>
              <w:bidi/>
              <w:spacing w:before="0" w:after="10" w:line="324" w:lineRule="atLeast"/>
              <w:ind w:left="200" w:right="0"/>
              <w:jc w:val="both"/>
              <w:rPr>
                <w:rFonts w:ascii="Simplified Arabic" w:hAnsi="Simplified Arabic" w:cs="Simplified Arabic" w:eastAsia="Simplified Arabic"/>
                <w:sz w:val="24"/>
                <w:szCs w:val="24"/>
                <w:rtl/>
              </w:rPr>
            </w:pPr>
            <w:r>
              <w:rPr>
                <w:rFonts w:ascii="Simplified Arabic" w:hAnsi="Simplified Arabic" w:cs="Simplified Arabic" w:eastAsia="Simplified Arabic"/>
                <w:sz w:val="24"/>
                <w:szCs w:val="24"/>
                <w:rtl/>
                <w:lang w:bidi="ar-DZ"/>
              </w:rPr>
              <w:t xml:space="preserve">4- الروابط الاجتماعية.</w:t>
            </w:r>
          </w:p>
        </w:tc>
        <w:tc>
          <w:tcPr>
            <w:tcW w:w="900" w:type="dxa"/>
            <w:vAlign w:val="center"/>
          </w:tcPr>
          <w:p>
            <w:pPr>
              <w:bidi/>
              <w:spacing w:before="0" w:after="0" w:line="297"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sz w:val="22"/>
                <w:szCs w:val="22"/>
                <w:rtl/>
                <w:lang w:bidi="ar-DZ"/>
              </w:rPr>
              <w:t xml:space="preserve">4×0.5</w:t>
            </w:r>
          </w:p>
        </w:tc>
        <w:tc>
          <w:tcPr>
            <w:tcW w:w="900" w:type="dxa"/>
            <w:vAlign w:val="center"/>
          </w:tcPr>
          <w:p>
            <w:pPr>
              <w:bidi/>
              <w:spacing w:before="0" w:after="0" w:line="324" w:lineRule="atLeas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02</w:t>
            </w:r>
          </w:p>
        </w:tc>
      </w:tr>
    </w:tbl>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وسلم التنقيط لموضوع امتحان: البكالوريا  الشعبة: جميع الشعب   دورة: جوان 2013</w:t>
    </w:r>
  </w:p>
  <w:p>
    <w:pPr>
      <w:pBdr>
        <w:bottom w:val="single" w:sz="8" w:space="4" w:color="000000"/>
      </w:pBdr>
      <w:bidi/>
      <w:spacing w:before="0" w:after="6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مادة: العلوم الإسلامية   المدة: 2 سا و30 د</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وسلم التنقيط لموضوع امتحان: البكالوريا  الشعبة: جميع الشعب   دورة: جوان 2013</w:t>
    </w:r>
  </w:p>
  <w:p>
    <w:pPr>
      <w:pBdr>
        <w:bottom w:val="single" w:sz="8" w:space="4" w:color="000000"/>
      </w:pBdr>
      <w:bidi/>
      <w:spacing w:before="0" w:after="6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مادة: العلوم الإسلامية   المدة: 2 سا و30 د</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الإجابة النموذجية وسلم التنقيط لموضوع امتحان: البكالوريا  الشعبة: جميع الشعب   دورة: جوان 2013</w:t>
    </w:r>
  </w:p>
  <w:p>
    <w:pPr>
      <w:pBdr>
        <w:bottom w:val="single" w:sz="8" w:space="4" w:color="000000"/>
      </w:pBdr>
      <w:bidi/>
      <w:spacing w:before="0" w:after="60" w:line="324" w:lineRule="atLeas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مادة: العلوم الإسلامية   المدة: 2 سا و30 د</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