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الأول)</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اسمه ونسبه: عبد الرّحمن بن صخر الدّوسي.</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مناقبه: أسلم في السنة السابعة للهجرة.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شدّة ملازمته للرّسول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دُعاء الرّسول ﷺ له بالحفظ.</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أحفظ الصحابة للحديث.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رُوي له من الحديث 5374 حديثا.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كان واليا على البحرين.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توفي سنة 57 أو 58 للهجرة ودفن بالبقيع.</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منقبتين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 </w:t>
            </w:r>
            <w:r>
              <w:rPr>
                <w:rFonts w:ascii="Traditional Arabic" w:hAnsi="Traditional Arabic" w:cs="Traditional Arabic" w:eastAsia="Traditional Arabic"/>
                <w:sz w:val="28"/>
                <w:szCs w:val="28"/>
                <w:rtl/>
                <w:lang w:bidi="ar-DZ"/>
              </w:rPr>
              <w:t xml:space="preserve">نوع الصّحة التي تتأثّر بتلك الأخلاق السّيّئة هي: الصّحة النّفسيّة.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مفهومها: الحالة التي يكون فيها الإنسان مطمئنا وطبيعيا في سلوكه، ولا يعاني من اضطراب أو قلق.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استنتاج طريق من طرق حفظها من الحديث: التّزكية والأخلاق.</w:t>
            </w:r>
          </w:p>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الأثر: الأخوّة والتّضامن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الشّاهد: «وكونوا عباد الله إخوانا»، «المسلم أخو المسلم لا يظلمه، ولا يخذله، لا يحقره»</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إذا رسخت العقيدة في قلوب أفراد المجتمع صاروا إخوة فيدفعهم ذلك للتّضامن.</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أو: الأثر: تحقّق الأمن</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محلّ الشّاهد: «لا يظلمه ولا يخذله ولا يحقره»، «كلّ المسلم على المسلم حرام دمه وماله وعرضه»</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الشّرح: العقيدة الصّحيحة تثمر الأمن بكلّ أنواعه...</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تصحح الإجابة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النّفس (دمه)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العقوبات التي شُرعت لحفظه: القصاص – الدّية.</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حفظ المال (ماله)</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العقوبات التي شُرعت لحفظه: الحدّ – التّعزير.</w:t>
                  </w:r>
                </w:p>
              </w:tc>
            </w:tr>
          </w:tbl>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المقاصد التي تشترك مع حفظ النسل هي المقاصد الضرورية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استنباط العلّة الجامعة: الانشغال عن الصلاة.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شروط المقيس (الفرع): 1. ألّا يكون منصوصا عليه بالقرآن أو السّنّة أو انعقد عليه الإجماع.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2. أن يشترك مع الأصل في العلّة.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يحقق القياس مرونة الشريعة من خلال استنباط الأحكام للمسائل الجديدة قياسا على المسائل المنصوص على حكمها، فهو يعطي حلولا للمشاكل والمستجدات في حياة الناس، مما يجعل الشّريعة صالحة لكلّ زمان ومكان.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كل إجابة صحيحة.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حكمان: تحريم ظلم المسلم لأخيه.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وجوب الأخوّة بين المسلمين.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تحريم البيع على البيع.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فائدتان: نبذ كلّ ما يُفسد الأخوّة.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التّأكيد على حماية الدّماء والأموال والأعراض.</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بيان أنّ القلب محلّ التّقوى.</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كلّ حكم أو فائدة صحيحة، على أن تُصحّح الإجابات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السّبب: النّسب (قرابة الدم).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محلّ الشّاهد: ﴿وَإِن كَانُوا إِخْوَةً رِّجَالًا وَنِسَاءً﴾.</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 السبب: كل صلة سببها الولادة وتشمل فروع الميت وأصوله وفروع أصوله.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0.5×3</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4103"/>
              <w:gridCol w:w="4103"/>
            </w:tblGrid>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الزوج: يرث</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طريق ميراثه: بالفرض.</w:t>
                  </w:r>
                </w:p>
              </w:tc>
            </w:tr>
            <w:tr>
              <w:trPr>
                <w:jc w:val="center"/>
              </w:trPr>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البنت: ترث</w:t>
                  </w:r>
                </w:p>
              </w:tc>
              <w:tc>
                <w:tcPr>
                  <w:tcW w:w="4103"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طريق ميراثها: بالفرض/ بالتعصيب.</w:t>
                  </w:r>
                </w:p>
              </w:tc>
            </w:tr>
          </w:tbl>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ابن البنت: لا يرث.</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 </w:t>
            </w:r>
            <w:r>
              <w:rPr>
                <w:rFonts w:ascii="Traditional Arabic" w:hAnsi="Traditional Arabic" w:cs="Traditional Arabic" w:eastAsia="Traditional Arabic"/>
                <w:sz w:val="28"/>
                <w:szCs w:val="28"/>
                <w:rtl/>
                <w:lang w:bidi="ar-DZ"/>
              </w:rPr>
              <w:t xml:space="preserve">تصنيف قيمة العدل: قيمة سياسية.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القيمة التي يحقّقها الالتزام بعلم الميراث على مستوى الفرد: الأمانة.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شرحها: المسلم الأمين هو من يحفظ حقوق الورثة ويلتزم بأدائها وفق قواعد علم الميراث.</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لا تقبل إلا الأمانة كقيمة فردية / يقبل أي شرح صحيح لها.</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تفنيد شبهة المستشرقين: الإسلام لم يظلم المرأة في الميراث؛ لأن نظام الإرث لا يحكمه معيار الذّكورة والأنوثة، وإنّما تحكمه معايير أخرى منها: العبء المالي: فالوارثون متفاوتون في التزاماتهم المالية تجاه من كلّفوا برعايتهم والقيام بشؤونهم، ولذلك يكون نصيبهم في الميراث أكبر.</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إبراز دور العقل: تنقية المنظومة الفكرية من الفكر الدّخيل الوافد كالاستشراق والإلحاد.</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تفنيد شبهة المستشرقين مبني على العبء المالي فقط، ويقبل كل تعبير صحيح على ذلك.</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03.5</w:t>
            </w:r>
          </w:p>
        </w:tc>
      </w:tr>
    </w:tbl>
    <w:p>
      <w:pPr>
        <w:bidi/>
        <w:spacing w:before="0" w:after="0" w:line="108" w:lineRule="atLeast"/>
        <w:jc w:val="both"/>
        <w:rPr>
          <w:rFonts w:ascii="Traditional Arabic" w:hAnsi="Traditional Arabic" w:cs="Traditional Arabic" w:eastAsia="Traditional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405"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30"/>
                <w:szCs w:val="30"/>
                <w:rtl/>
                <w:lang w:bidi="ar-DZ"/>
              </w:rPr>
              <w:t xml:space="preserve">عناصر الإجابة (الموضوع الثاني)</w:t>
            </w:r>
          </w:p>
        </w:tc>
        <w:tc>
          <w:tcPr>
            <w:tcW w:w="1800" w:type="dxa"/>
            <w:gridSpan w:val="2"/>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العلامة</w:t>
            </w:r>
          </w:p>
        </w:tc>
      </w:tr>
      <w:tr>
        <w:trPr>
          <w:tblHeader/>
          <w:jc w:val="center"/>
        </w:trPr>
        <w:tc>
          <w:tcPr>
            <w:tcW w:w="8406" w:type="dxa"/>
            <w:vMerge/>
            <w:vAlign w:val="top"/>
          </w:tcPr>
          <w:p>
            <w:pPr>
              <w:bidi/>
              <w:spacing w:before="0" w:after="0" w:line="378" w:lineRule="atLeast"/>
              <w:jc w:val="both"/>
              <w:rPr>
                <w:rFonts w:ascii="Traditional Arabic" w:hAnsi="Traditional Arabic" w:cs="Traditional Arabic" w:eastAsia="Traditional Arabic"/>
                <w:sz w:val="28"/>
                <w:szCs w:val="28"/>
                <w:rtl/>
              </w:rPr>
            </w:pP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مجزأة</w:t>
            </w:r>
          </w:p>
        </w:tc>
        <w:tc>
          <w:tcPr>
            <w:tcW w:w="900" w:type="dxa"/>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مجموع</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اسمها ونسبها: عائشة أمّ المؤمنين بنت أبي بكر الصّديق رضي الله عنهما.</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مناقبها: إحدى أزواج النّبي ﷺ.</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أحب نساء النبي ﷺ إليه.</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من أعلم النّساء وأفقههنّ.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أكثر النّساء رواية للحديث.</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روي لها من الحديث 2210.</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توفّيت سنة 57 هـ. ودفنت بالبقيع.</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بذكر منقبتين صحيحتين.</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أ- </w:t>
            </w:r>
            <w:r>
              <w:rPr>
                <w:rFonts w:ascii="Traditional Arabic" w:hAnsi="Traditional Arabic" w:cs="Traditional Arabic" w:eastAsia="Traditional Arabic"/>
                <w:sz w:val="28"/>
                <w:szCs w:val="28"/>
                <w:rtl/>
                <w:lang w:bidi="ar-DZ"/>
              </w:rPr>
              <w:t xml:space="preserve">تسمية هذه الخاصية: العدالة في العقوبة (شخصية العقوبة).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تحديد ما يدل عليها من الحديث: رجل زنى بعد إحصان فإنه يرجم.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رجل خرج محاربا لله ورسوله فإنه يقتل أو يصلب أو ينفى من الأرض.</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يَقتل نفسا فيقتل بها.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تقبل في تسمية الخاصية شرعية العقوبة، ويستدل عليها بنص الحديث أو بجزء من الحديث يدل على حد الزنا أو حد الحرابة أو القصاص.</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حفظ مصالح النّاس وصيانة نظام المجتمع.</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تأديب المجرمين وردعهم.</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تطييب خاطر المجني عليه أو وليّه.</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03</w:t>
            </w:r>
          </w:p>
        </w:tc>
      </w:tr>
      <w:tr>
        <w:trPr>
          <w:jc w:val="center"/>
        </w:trPr>
        <w:tc>
          <w:tcPr>
            <w:tcW w:w="8406" w:type="dxa"/>
            <w:vAlign w:val="top"/>
          </w:tcPr>
          <w:p>
            <w:pPr>
              <w:bidi/>
              <w:spacing w:before="0" w:after="2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أ-</w:t>
            </w:r>
          </w:p>
          <w:tbl>
            <w:tblPr>
              <w:bidiVisual/>
              <w:tblW w:w="8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2735"/>
              <w:gridCol w:w="2735"/>
              <w:gridCol w:w="2736"/>
            </w:tblGrid>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الزنا</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عقوبتها: الرجم حتّى الموت</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الحدود.</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الحرابة</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عقوبتها: القتل أو الصّلب أو النفي</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الحدود.</w:t>
                  </w:r>
                </w:p>
              </w:tc>
            </w:tr>
            <w:tr>
              <w:trPr>
                <w:jc w:val="center"/>
              </w:trPr>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القتل العمد</w:t>
                  </w:r>
                </w:p>
              </w:tc>
              <w:tc>
                <w:tcPr>
                  <w:tcW w:w="2735"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عقوبته: القتل</w:t>
                  </w:r>
                </w:p>
              </w:tc>
              <w:tc>
                <w:tcPr>
                  <w:tcW w:w="2736" w:type="dxa"/>
                  <w:vAlign w:val="top"/>
                </w:tcPr>
                <w:p>
                  <w:pPr>
                    <w:bidi/>
                    <w:spacing w:before="0" w:after="0" w:line="351" w:lineRule="atLeast"/>
                    <w:jc w:val="left"/>
                    <w:rPr>
                      <w:rFonts w:ascii="Traditional Arabic" w:hAnsi="Traditional Arabic" w:cs="Traditional Arabic" w:eastAsia="Traditional Arabic"/>
                      <w:sz w:val="26"/>
                      <w:szCs w:val="26"/>
                      <w:rtl/>
                    </w:rPr>
                  </w:pPr>
                  <w:r>
                    <w:rPr>
                      <w:rFonts w:ascii="Traditional Arabic" w:hAnsi="Traditional Arabic" w:cs="Traditional Arabic" w:eastAsia="Traditional Arabic"/>
                      <w:sz w:val="26"/>
                      <w:szCs w:val="26"/>
                      <w:rtl/>
                      <w:lang w:bidi="ar-DZ"/>
                    </w:rPr>
                    <w:t xml:space="preserve">نوع العقوبة: القصاص.</w:t>
                  </w:r>
                </w:p>
              </w:tc>
            </w:tr>
          </w:tbl>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تسمية مرتبة تغيير المنكر الواردة في الحديث: التغيير باليد.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الاستدلال بنص شرعي: عن أبي سعيد الخدري رضي الله عنه قال سمعت رسول الله ﷺ يقول: «من رأى منكم منكرا فليغيره بيده ...».</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3×0.5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أ- </w:t>
            </w:r>
            <w:r>
              <w:rPr>
                <w:rFonts w:ascii="Traditional Arabic" w:hAnsi="Traditional Arabic" w:cs="Traditional Arabic" w:eastAsia="Traditional Arabic"/>
                <w:sz w:val="28"/>
                <w:szCs w:val="28"/>
                <w:rtl/>
                <w:lang w:bidi="ar-DZ"/>
              </w:rPr>
              <w:t xml:space="preserve">تحديد نوع هذه الصّحة: الصّحة الجسميّة.</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في تحديد نوع الصحة: الصّحة النفسية.</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كيفيّة المحافظة عليها من خلال الحديث: بالوقاية من الأمراض وذلك بتحريم جريمة الزّنا.</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كيفية المحافظة عليها (في حال الصحة النفسية): بالتزكية والأخلاق.</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الحكم: تحريم الزِّنا – تحريم الحرابة – تحريم قتل النّفس بغير حق.</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الفائدتان: بيان عقوبة الزّاني المحصن.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ضرورة تطبيق العقوبة على من وجبت عليه.</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يقبل كلّ حكم أو فائدة صحيحة، على أن تُصحّح الإجابات الأولى فقط.</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0.5</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2×0.5</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01.5</w:t>
            </w:r>
          </w:p>
        </w:tc>
      </w:tr>
      <w:tr>
        <w:trPr>
          <w:jc w:val="center"/>
        </w:trPr>
        <w:tc>
          <w:tcPr>
            <w:tcW w:w="10206" w:type="dxa"/>
            <w:gridSpan w:val="3"/>
            <w:vAlign w:val="top"/>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أ- </w:t>
            </w:r>
            <w:r>
              <w:rPr>
                <w:rFonts w:ascii="Traditional Arabic" w:hAnsi="Traditional Arabic" w:cs="Traditional Arabic" w:eastAsia="Traditional Arabic"/>
                <w:sz w:val="28"/>
                <w:szCs w:val="28"/>
                <w:rtl/>
                <w:lang w:bidi="ar-DZ"/>
              </w:rPr>
              <w:t xml:space="preserve">المصدر: القياس.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التعريف من السّند الأول: «فإذا ساوت الواقعة التي لا نص فيها الواقعة المنصوص عليها في علّة الحكم قضت الحكمة والعدالة أن تساويها في الحكم».</w:t>
            </w:r>
          </w:p>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ب- </w:t>
            </w:r>
            <w:r>
              <w:rPr>
                <w:rFonts w:ascii="Traditional Arabic" w:hAnsi="Traditional Arabic" w:cs="Traditional Arabic" w:eastAsia="Traditional Arabic"/>
                <w:sz w:val="28"/>
                <w:szCs w:val="28"/>
                <w:rtl/>
                <w:lang w:bidi="ar-DZ"/>
              </w:rPr>
              <w:t xml:space="preserve">المقصد العام من التّشريع الإسلامي: تحقيق مصالح العباد.</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العبارة الدالة عليه من السّند الأول: «إن الله سبحانه ما شرع حكما إلا لمصلحة، وإن مصالح العباد هي الغاية المقصودة من تشريع الأحكام».</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04</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المصدر الآخر من السّند الثاني: المصلحة المرسلة.</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وجه الاتّفاق بين المصدرين (القياس والمصلحة المرسلة) من خلال السّندين هو: مسايرة تطورات الناس ومصالحهم.</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الاكتفاء بذكر تحقيق مصالح العباد كوجه للاتفاق بين المصدرين دون التطرق إلى مسايرة تطورات النّاس يعتبر إجابة ناقصة تستحق نصف العلامة.</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r>
        <w:trPr>
          <w:jc w:val="center"/>
        </w:trPr>
        <w:tc>
          <w:tcPr>
            <w:tcW w:w="8406" w:type="dxa"/>
            <w:vAlign w:val="top"/>
          </w:tcPr>
          <w:p>
            <w:pPr>
              <w:bidi/>
              <w:spacing w:before="0" w:after="1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خالدة غير مرهونة بزمن معيّن.</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الشرح: خلود الشريعة الإسلامية يرجع إلى كونها ثابتة في الأصول والأهداف والغايات والأخلاق والقيم وإلى مرونتها في الفروع والجزئيات والوسائل والأساليب، ولذلك فهي تواكب كل ما يتجدد من النوازل في حياة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أو: عامة تخاطب جميع النّاس.</w:t>
            </w:r>
          </w:p>
          <w:p>
            <w:pPr>
              <w:bidi/>
              <w:spacing w:before="0" w:after="10" w:line="378" w:lineRule="atLeast"/>
              <w:ind w:left="200"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الشرح: فهي رسالة موجهة إلى الناس كافة لا تختص بقوم دون آخرين.</w:t>
            </w:r>
          </w:p>
          <w:p>
            <w:pPr>
              <w:bidi/>
              <w:spacing w:before="0" w:after="10" w:line="351"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u w:val="single"/>
                <w:sz w:val="26"/>
                <w:szCs w:val="26"/>
                <w:rtl/>
                <w:lang w:bidi="ar-DZ"/>
              </w:rPr>
              <w:t xml:space="preserve">ملاحظة: </w:t>
            </w:r>
            <w:r>
              <w:rPr>
                <w:rFonts w:ascii="Traditional Arabic" w:hAnsi="Traditional Arabic" w:cs="Traditional Arabic" w:eastAsia="Traditional Arabic"/>
                <w:sz w:val="26"/>
                <w:szCs w:val="26"/>
                <w:rtl/>
                <w:lang w:bidi="ar-DZ"/>
              </w:rPr>
              <w:t xml:space="preserve">يكتفى بإجابة واحدة ويقبل أي شرح صحيح.</w:t>
            </w:r>
          </w:p>
        </w:tc>
        <w:tc>
          <w:tcPr>
            <w:tcW w:w="900" w:type="dxa"/>
            <w:vAlign w:val="center"/>
          </w:tcPr>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p>
            <w:pPr>
              <w:bidi/>
              <w:spacing w:before="0" w:after="0" w:line="351"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sz w:val="26"/>
                <w:szCs w:val="26"/>
                <w:rtl/>
                <w:lang w:bidi="ar-DZ"/>
              </w:rPr>
              <w:t xml:space="preserve">01</w:t>
            </w:r>
          </w:p>
        </w:tc>
        <w:tc>
          <w:tcPr>
            <w:tcW w:w="900" w:type="dxa"/>
            <w:vAlign w:val="center"/>
          </w:tcPr>
          <w:p>
            <w:pPr>
              <w:bidi/>
              <w:spacing w:before="0" w:after="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02</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الإجابة النموذجية. مادة : العلوم الإسلامية   الشعبة: جميع الشعب   بكالوريا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