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0"/>
        <w:jc w:val="center"/>
        <w:rPr>
          <w:rFonts w:ascii="Traditional Arabic" w:hAnsi="Traditional Arabic" w:cs="Traditional Arabic" w:eastAsia="Traditional Arabic"/>
          <w:sz w:val="32"/>
          <w:szCs w:val="32"/>
          <w:rtl/>
        </w:rPr>
      </w:pPr>
      <w:r>
        <w:drawing>
          <wp:inline xmlns:a="http://schemas.openxmlformats.org/drawingml/2006/main" xmlns:pic="http://schemas.openxmlformats.org/drawingml/2006/picture">
            <wp:extent cx="342340" cy="28800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342340" cy="288000"/>
                    </a:xfrm>
                    <a:prstGeom prst="rect"/>
                  </pic:spPr>
                </pic:pic>
              </a:graphicData>
            </a:graphic>
          </wp:inline>
        </w:drawing>
      </w:r>
    </w:p>
    <w:p>
      <w:pPr>
        <w:bidi/>
        <w:spacing w:before="0" w:after="20" w:line="480" w:lineRule="exac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الجمهورية الجزائرية الديمقراطية الشعبية</w:t>
      </w:r>
    </w:p>
    <w:p>
      <w:pPr>
        <w:bidi/>
        <w:spacing w:before="0" w:after="20" w:line="450"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وزارة التربية الوطنية</w:t>
      </w:r>
    </w:p>
    <w:p>
      <w:pPr>
        <w:bidi/>
        <w:spacing w:before="0" w:after="20" w:line="450"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الديوان الوطني للامتحانات والمسابقات</w:t>
      </w:r>
    </w:p>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nil"/>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امتحان بكالوريا التعليم الثانوي</w:t>
            </w:r>
          </w:p>
        </w:tc>
        <w:tc>
          <w:tcPr>
            <w:tcW w:w="5103" w:type="dxa"/>
            <w:tcBorders>
              <w:top w:val="nil"/>
              <w:left w:val="nil"/>
              <w:bottom w:val="nil"/>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دورة: 2023</w:t>
            </w:r>
          </w:p>
        </w:tc>
      </w:tr>
      <w:tr>
        <w:trPr>
          <w:jc w:val="center"/>
        </w:trPr>
        <w:tc>
          <w:tcPr>
            <w:tcW w:w="5103" w:type="dxa"/>
            <w:tcBorders>
              <w:top w:val="nil"/>
              <w:left w:val="nil"/>
              <w:bottom w:val="single" w:sz="8" w:space="0" w:color="000000"/>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الشعبة: علوم تجريبية، رياضيات، تقني رياضي</w:t>
            </w:r>
          </w:p>
        </w:tc>
        <w:tc>
          <w:tcPr>
            <w:tcW w:w="5103" w:type="dxa"/>
            <w:tcBorders>
              <w:top w:val="nil"/>
              <w:left w:val="nil"/>
              <w:bottom w:val="single" w:sz="8" w:space="0" w:color="000000"/>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r>
          </w:p>
        </w:tc>
      </w:tr>
      <w:tr>
        <w:trPr>
          <w:jc w:val="center"/>
        </w:trPr>
        <w:tc>
          <w:tcPr>
            <w:tcW w:w="5103" w:type="dxa"/>
            <w:tcBorders>
              <w:top w:val="nil"/>
              <w:left w:val="nil"/>
              <w:bottom w:val="single" w:sz="8" w:space="0" w:color="000000"/>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اختبار في مادة: التاريخ والجغرافيا</w:t>
            </w:r>
          </w:p>
        </w:tc>
        <w:tc>
          <w:tcPr>
            <w:tcW w:w="5103" w:type="dxa"/>
            <w:tcBorders>
              <w:top w:val="nil"/>
              <w:left w:val="nil"/>
              <w:bottom w:val="single" w:sz="8" w:space="0" w:color="000000"/>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المدة: 03 سا و30 د</w:t>
            </w:r>
          </w:p>
        </w:tc>
      </w:tr>
    </w:tbl>
    <w:p>
      <w:pPr>
        <w:bidi/>
        <w:spacing w:before="120" w:after="6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على المترشح أن يختار أحد الموضوعين الآتيين:</w:t>
      </w:r>
    </w:p>
    <w:p>
      <w:pPr>
        <w:bidi/>
        <w:spacing w:before="0" w:after="40" w:line="480" w:lineRule="exac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الموضوع الأول</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التاريخ:</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الأول: (06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 نصّت </w:t>
      </w:r>
      <w:r>
        <w:rPr>
          <w:rFonts w:ascii="Traditional Arabic" w:hAnsi="Traditional Arabic" w:cs="Traditional Arabic" w:eastAsia="Traditional Arabic"/>
          <w:b/>
          <w:bCs/>
          <w:sz w:val="32"/>
          <w:szCs w:val="32"/>
          <w:u w:val="single"/>
          <w:rtl/>
          <w:lang w:bidi="ar-DZ"/>
        </w:rPr>
        <w:t xml:space="preserve">اتّفاقيات إيفيان</w:t>
      </w:r>
      <w:r>
        <w:rPr>
          <w:rFonts w:ascii="Traditional Arabic" w:hAnsi="Traditional Arabic" w:cs="Traditional Arabic" w:eastAsia="Traditional Arabic"/>
          <w:sz w:val="32"/>
          <w:szCs w:val="32"/>
          <w:rtl/>
          <w:lang w:bidi="ar-DZ"/>
        </w:rPr>
        <w:t xml:space="preserve"> المُوقّعة بين </w:t>
      </w:r>
      <w:r>
        <w:rPr>
          <w:rFonts w:ascii="Traditional Arabic" w:hAnsi="Traditional Arabic" w:cs="Traditional Arabic" w:eastAsia="Traditional Arabic"/>
          <w:b/>
          <w:bCs/>
          <w:sz w:val="32"/>
          <w:szCs w:val="32"/>
          <w:u w:val="single"/>
          <w:rtl/>
          <w:lang w:bidi="ar-DZ"/>
        </w:rPr>
        <w:t xml:space="preserve">الحكومة المؤقّتة الجزائرية</w:t>
      </w:r>
      <w:r>
        <w:rPr>
          <w:rFonts w:ascii="Traditional Arabic" w:hAnsi="Traditional Arabic" w:cs="Traditional Arabic" w:eastAsia="Traditional Arabic"/>
          <w:sz w:val="32"/>
          <w:szCs w:val="32"/>
          <w:rtl/>
          <w:lang w:bidi="ar-DZ"/>
        </w:rPr>
        <w:t xml:space="preserve"> وفرنسا على اعتبار يوم 19 مارس 1962 تاريخا </w:t>
      </w:r>
      <w:r>
        <w:rPr>
          <w:rFonts w:ascii="Traditional Arabic" w:hAnsi="Traditional Arabic" w:cs="Traditional Arabic" w:eastAsia="Traditional Arabic"/>
          <w:b/>
          <w:bCs/>
          <w:sz w:val="32"/>
          <w:szCs w:val="32"/>
          <w:u w:val="single"/>
          <w:rtl/>
          <w:lang w:bidi="ar-DZ"/>
        </w:rPr>
        <w:t xml:space="preserve">لوقف إطلاق النّار</w:t>
      </w:r>
      <w:r>
        <w:rPr>
          <w:rFonts w:ascii="Traditional Arabic" w:hAnsi="Traditional Arabic" w:cs="Traditional Arabic" w:eastAsia="Traditional Arabic"/>
          <w:sz w:val="32"/>
          <w:szCs w:val="32"/>
          <w:rtl/>
          <w:lang w:bidi="ar-DZ"/>
        </w:rPr>
        <w:t xml:space="preserve"> بين جبهة وجيش التّحرير الوطنيين والقوّات الفرنسيّة عبر كامل التّراب الوطني، واعتبر السّيد بن يوسف بن خدّة رئيس الحكومة الجزائرية المؤقّتة في خطاب وجّهه إلى الشّعب الجزائري، أنّ اتّفاق وقف القتال يُعدُّ نصرا كبيرا لصالح الشّعب، مُصْدِرا الأوامر لوحدات جيش التّحرير إنهاء العمل المسلّح في كلّ مناطق الوطن...".</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المرجع: د/بن يوسف تلمساني. المركز الوطني للدّراسات والبحث في الحركة الوطنية وثورة أول نوفمبر1954. تاريخ الجزائر 1830-1962. الجزء الأول. صفحة 272.</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اشرح ما تحته خطّ في النّص.</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أكمل الجدول التّالي:</w:t>
      </w:r>
    </w:p>
    <w:tbl>
      <w:tblPr>
        <w:bidiVisual/>
        <w:tblW w:w="68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3402"/>
        <w:gridCol w:w="3402"/>
      </w:tblGrid>
      <w:tr>
        <w:trPr>
          <w:jc w:val="center"/>
        </w:trPr>
        <w:tc>
          <w:tcPr>
            <w:tcW w:w="3402"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الحدث</w:t>
            </w:r>
          </w:p>
        </w:tc>
        <w:tc>
          <w:tcPr>
            <w:tcW w:w="3402"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تاريخه</w:t>
            </w:r>
          </w:p>
        </w:tc>
      </w:tr>
      <w:tr>
        <w:trPr>
          <w:jc w:val="center"/>
        </w:trPr>
        <w:tc>
          <w:tcPr>
            <w:tcW w:w="3402"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إعلان مشروع قسنطينة</w:t>
            </w:r>
          </w:p>
        </w:tc>
        <w:tc>
          <w:tcPr>
            <w:tcW w:w="3402" w:type="dxa"/>
            <w:vAlign w:val="top"/>
          </w:tcPr>
          <w:p>
            <w:pPr>
              <w:bidi/>
              <w:spacing w:before="0" w:after="0" w:line="420" w:lineRule="exact"/>
              <w:jc w:val="left"/>
              <w:rPr>
                <w:rFonts w:ascii="Traditional Arabic" w:hAnsi="Traditional Arabic" w:cs="Traditional Arabic" w:eastAsia="Traditional Arabic"/>
                <w:sz w:val="28"/>
                <w:szCs w:val="28"/>
                <w:rtl/>
              </w:rPr>
            </w:pPr>
          </w:p>
        </w:tc>
      </w:tr>
      <w:tr>
        <w:trPr>
          <w:jc w:val="center"/>
        </w:trPr>
        <w:tc>
          <w:tcPr>
            <w:tcW w:w="3402" w:type="dxa"/>
            <w:vAlign w:val="top"/>
          </w:tcPr>
          <w:p>
            <w:pPr>
              <w:bidi/>
              <w:spacing w:before="0" w:after="0" w:line="420" w:lineRule="exact"/>
              <w:jc w:val="left"/>
              <w:rPr>
                <w:rFonts w:ascii="Traditional Arabic" w:hAnsi="Traditional Arabic" w:cs="Traditional Arabic" w:eastAsia="Traditional Arabic"/>
                <w:sz w:val="28"/>
                <w:szCs w:val="28"/>
                <w:rtl/>
              </w:rPr>
            </w:pPr>
          </w:p>
        </w:tc>
        <w:tc>
          <w:tcPr>
            <w:tcW w:w="3402"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21 ديسمبر 1991</w:t>
            </w:r>
          </w:p>
        </w:tc>
      </w:tr>
      <w:tr>
        <w:trPr>
          <w:jc w:val="center"/>
        </w:trPr>
        <w:tc>
          <w:tcPr>
            <w:tcW w:w="3402"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إنشاء الخطّ الهاتفي الأحمر</w:t>
            </w:r>
          </w:p>
        </w:tc>
        <w:tc>
          <w:tcPr>
            <w:tcW w:w="3402" w:type="dxa"/>
            <w:vAlign w:val="top"/>
          </w:tcPr>
          <w:p>
            <w:pPr>
              <w:bidi/>
              <w:spacing w:before="0" w:after="0" w:line="420" w:lineRule="exact"/>
              <w:jc w:val="left"/>
              <w:rPr>
                <w:rFonts w:ascii="Traditional Arabic" w:hAnsi="Traditional Arabic" w:cs="Traditional Arabic" w:eastAsia="Traditional Arabic"/>
                <w:sz w:val="28"/>
                <w:szCs w:val="28"/>
                <w:rtl/>
              </w:rPr>
            </w:pPr>
          </w:p>
        </w:tc>
      </w:tr>
    </w:tbl>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الثاني: (04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sz w:val="32"/>
          <w:szCs w:val="32"/>
          <w:rtl/>
          <w:lang w:bidi="ar-DZ"/>
        </w:rPr>
        <w:t xml:space="preserve">بتفكّك الكتلة الشّرقية انتهت الحرب الباردة، وانتهت معها القطبية الثّنائيّة، ما أسفر عن ظهور نظام دولي جديد أحادي القطب تقوده الولايات المتّحدة الأمريكية، كانت له انعكاسات على العلاقات الدّولية وعلى بلدان العالم الثّالث.</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انطلاقا من العبارة واعتمادا على ما درست، اكتب مقالا تاريخيا تبيّن فيه:</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المؤسّسات الاقتصادية التي يقوم عليها النّظام الدّولي الجديد.</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انعكاساته على بلدان العالم الثّالث.</w:t>
      </w:r>
    </w:p>
    <w:p>
      <w:pPr>
        <w:pageBreakBefore/>
        <w:bidi/>
        <w:spacing w:before="0" w:after="0" w:line="120" w:lineRule="exact"/>
        <w:jc w:val="both"/>
        <w:rPr>
          <w:rFonts w:ascii="Traditional Arabic" w:hAnsi="Traditional Arabic" w:cs="Traditional Arabic" w:eastAsia="Traditional Arabic"/>
          <w:sz w:val="8"/>
          <w:szCs w:val="8"/>
          <w:rtl/>
        </w:rPr>
      </w:pP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الجغرافيا:</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الأول: (06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 نظرا لأنّ معظم البلدان الأوروبية تستورد </w:t>
      </w:r>
      <w:r>
        <w:rPr>
          <w:rFonts w:ascii="Traditional Arabic" w:hAnsi="Traditional Arabic" w:cs="Traditional Arabic" w:eastAsia="Traditional Arabic"/>
          <w:b/>
          <w:bCs/>
          <w:sz w:val="32"/>
          <w:szCs w:val="32"/>
          <w:u w:val="single"/>
          <w:rtl/>
          <w:lang w:bidi="ar-DZ"/>
        </w:rPr>
        <w:t xml:space="preserve">الطّاقة</w:t>
      </w:r>
      <w:r>
        <w:rPr>
          <w:rFonts w:ascii="Traditional Arabic" w:hAnsi="Traditional Arabic" w:cs="Traditional Arabic" w:eastAsia="Traditional Arabic"/>
          <w:sz w:val="32"/>
          <w:szCs w:val="32"/>
          <w:rtl/>
          <w:lang w:bidi="ar-DZ"/>
        </w:rPr>
        <w:t xml:space="preserve"> على أساس صافٍ، يُمثّل ارتفاع الأسعار العالمية صدمة سلبية بالنّسبة لمعدّلات </w:t>
      </w:r>
      <w:r>
        <w:rPr>
          <w:rFonts w:ascii="Traditional Arabic" w:hAnsi="Traditional Arabic" w:cs="Traditional Arabic" w:eastAsia="Traditional Arabic"/>
          <w:b/>
          <w:bCs/>
          <w:sz w:val="32"/>
          <w:szCs w:val="32"/>
          <w:u w:val="single"/>
          <w:rtl/>
          <w:lang w:bidi="ar-DZ"/>
        </w:rPr>
        <w:t xml:space="preserve">التّبادل التّجاري</w:t>
      </w:r>
      <w:r>
        <w:rPr>
          <w:rFonts w:ascii="Traditional Arabic" w:hAnsi="Traditional Arabic" w:cs="Traditional Arabic" w:eastAsia="Traditional Arabic"/>
          <w:sz w:val="32"/>
          <w:szCs w:val="32"/>
          <w:rtl/>
          <w:lang w:bidi="ar-DZ"/>
        </w:rPr>
        <w:t xml:space="preserve">، ممّا يؤدّي إلى تراجع النّاتج وارتفاع التّضخّم ... لذلك تمّ خفض توقّعات نمو إجمالي النّاتج المحلّي </w:t>
      </w:r>
      <w:r>
        <w:rPr>
          <w:rFonts w:ascii="Traditional Arabic" w:hAnsi="Traditional Arabic" w:cs="Traditional Arabic" w:eastAsia="Traditional Arabic"/>
          <w:b/>
          <w:bCs/>
          <w:sz w:val="32"/>
          <w:szCs w:val="32"/>
          <w:u w:val="single"/>
          <w:rtl/>
          <w:lang w:bidi="ar-DZ"/>
        </w:rPr>
        <w:t xml:space="preserve">لمنطقة اليورو</w:t>
      </w:r>
      <w:r>
        <w:rPr>
          <w:rFonts w:ascii="Traditional Arabic" w:hAnsi="Traditional Arabic" w:cs="Traditional Arabic" w:eastAsia="Traditional Arabic"/>
          <w:sz w:val="32"/>
          <w:szCs w:val="32"/>
          <w:rtl/>
          <w:lang w:bidi="ar-DZ"/>
        </w:rPr>
        <w:t xml:space="preserve">...".</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المرجع: تقرير حول الاقتصاد العالمي (آفاق الاقتصاد العالمي).</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تقرير صندوق النّقد الدّولي. صفحة 04. أفريل 2022</w:t>
      </w:r>
    </w:p>
    <w:p>
      <w:pPr>
        <w:bidi/>
        <w:spacing w:before="12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اشرح ما تحته خطّ في النّص.</w:t>
      </w:r>
    </w:p>
    <w:p>
      <w:pPr>
        <w:bidi/>
        <w:spacing w:before="2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إليك جدولا يمثّل أهمّ مناطق ودول التّبادل التّجاري للولايات المتّحدة الأمريكية عام 2021.</w:t>
      </w:r>
    </w:p>
    <w:tbl>
      <w:tblPr>
        <w:bidiVisual/>
        <w:tblW w:w="929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1814"/>
        <w:gridCol w:w="1474"/>
        <w:gridCol w:w="1474"/>
        <w:gridCol w:w="1701"/>
        <w:gridCol w:w="1360"/>
        <w:gridCol w:w="1474"/>
      </w:tblGrid>
      <w:tr>
        <w:trPr>
          <w:jc w:val="center"/>
        </w:trPr>
        <w:tc>
          <w:tcPr>
            <w:tcW w:w="1814"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المناطق والدّول</w:t>
            </w:r>
          </w:p>
        </w:tc>
        <w:tc>
          <w:tcPr>
            <w:tcW w:w="147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كندا</w:t>
            </w:r>
          </w:p>
        </w:tc>
        <w:tc>
          <w:tcPr>
            <w:tcW w:w="147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المكسيك</w:t>
            </w:r>
          </w:p>
        </w:tc>
        <w:tc>
          <w:tcPr>
            <w:tcW w:w="1701"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الاتّحاد الأوربي</w:t>
            </w:r>
          </w:p>
        </w:tc>
        <w:tc>
          <w:tcPr>
            <w:tcW w:w="1360"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اليابان</w:t>
            </w:r>
          </w:p>
        </w:tc>
        <w:tc>
          <w:tcPr>
            <w:tcW w:w="147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الصّين</w:t>
            </w:r>
          </w:p>
        </w:tc>
      </w:tr>
      <w:tr>
        <w:trPr>
          <w:jc w:val="center"/>
        </w:trPr>
        <w:tc>
          <w:tcPr>
            <w:tcW w:w="1814"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الصّادرات %</w:t>
            </w:r>
          </w:p>
        </w:tc>
        <w:tc>
          <w:tcPr>
            <w:tcW w:w="147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%17.5</w:t>
            </w:r>
          </w:p>
        </w:tc>
        <w:tc>
          <w:tcPr>
            <w:tcW w:w="147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%15.8</w:t>
            </w:r>
          </w:p>
        </w:tc>
        <w:tc>
          <w:tcPr>
            <w:tcW w:w="1701"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%15.5</w:t>
            </w:r>
          </w:p>
        </w:tc>
        <w:tc>
          <w:tcPr>
            <w:tcW w:w="1360"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%4.3</w:t>
            </w:r>
          </w:p>
        </w:tc>
        <w:tc>
          <w:tcPr>
            <w:tcW w:w="147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8.6</w:t>
            </w:r>
          </w:p>
        </w:tc>
      </w:tr>
      <w:tr>
        <w:trPr>
          <w:jc w:val="center"/>
        </w:trPr>
        <w:tc>
          <w:tcPr>
            <w:tcW w:w="1814"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الواردات %</w:t>
            </w:r>
          </w:p>
        </w:tc>
        <w:tc>
          <w:tcPr>
            <w:tcW w:w="147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%12.4</w:t>
            </w:r>
          </w:p>
        </w:tc>
        <w:tc>
          <w:tcPr>
            <w:tcW w:w="147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%13.2</w:t>
            </w:r>
          </w:p>
        </w:tc>
        <w:tc>
          <w:tcPr>
            <w:tcW w:w="1701"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%17.1</w:t>
            </w:r>
          </w:p>
        </w:tc>
        <w:tc>
          <w:tcPr>
            <w:tcW w:w="1360"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%4.8</w:t>
            </w:r>
          </w:p>
        </w:tc>
        <w:tc>
          <w:tcPr>
            <w:tcW w:w="147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%18.5</w:t>
            </w:r>
          </w:p>
        </w:tc>
      </w:tr>
    </w:tbl>
    <w:p>
      <w:pPr>
        <w:bidi/>
        <w:spacing w:before="0" w:after="4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المصدر: تقرير المنظّمة العالمية للتّجارة ومؤتمر الأمم المتّحدة للتّجارة والتّنمية عام 2022.</w:t>
      </w:r>
    </w:p>
    <w:p>
      <w:pPr>
        <w:bidi/>
        <w:spacing w:before="120" w:after="40" w:line="480" w:lineRule="exact"/>
        <w:ind w:left="1134"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مثّل المعطيات الإحصائيّة الواردة في الجدول </w:t>
      </w:r>
      <w:r>
        <w:rPr>
          <w:rFonts w:ascii="Traditional Arabic" w:hAnsi="Traditional Arabic" w:cs="Traditional Arabic" w:eastAsia="Traditional Arabic"/>
          <w:b/>
          <w:bCs/>
          <w:sz w:val="32"/>
          <w:szCs w:val="32"/>
          <w:rtl/>
          <w:lang w:bidi="ar-DZ"/>
        </w:rPr>
        <w:t xml:space="preserve">بأعمدة بيانيّة في مجال واحد.</w:t>
      </w:r>
    </w:p>
    <w:p>
      <w:pPr>
        <w:bidi/>
        <w:spacing w:before="0" w:after="40" w:line="480" w:lineRule="exact"/>
        <w:ind w:left="1701"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بمقياس رسم: 1 سم لكلّ 2 %.</w:t>
      </w:r>
    </w:p>
    <w:p>
      <w:pPr>
        <w:bidi/>
        <w:spacing w:before="0" w:after="40" w:line="480" w:lineRule="exact"/>
        <w:ind w:left="1701"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 سم لكلّ عمود.</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الثاني: (04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sz w:val="32"/>
          <w:szCs w:val="32"/>
          <w:rtl/>
          <w:lang w:bidi="ar-DZ"/>
        </w:rPr>
        <w:t xml:space="preserve">رغم ما وصلت إليه بلدان عالم الشّمال من تقدّم اقتصادي جعلها تهيمن وتسيطر على الاقتصاد العالمي، فإنّه بالمقابل تعاني من مشاكل كثيرة تعترض تقدّمها.</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انطلاقا من العبارة واعتمادا على ما درست، اكتب مقالا جغرافيا تبيّن فيه:</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المظاهر الاقتصاديّة لتقدّم بلدان عالم الشّمال.</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المشاكل التي تعترض تقدّمها الاقتصادي.</w:t>
      </w:r>
    </w:p>
    <w:p>
      <w:pPr>
        <w:bidi/>
        <w:spacing w:before="1000" w:after="40" w:line="390"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انتهى الموضوع الأول</w:t>
      </w:r>
    </w:p>
    <w:p>
      <w:pPr>
        <w:pageBreakBefore/>
        <w:bidi/>
        <w:spacing w:before="0" w:after="0" w:line="120" w:lineRule="exact"/>
        <w:jc w:val="both"/>
        <w:rPr>
          <w:rFonts w:ascii="Traditional Arabic" w:hAnsi="Traditional Arabic" w:cs="Traditional Arabic" w:eastAsia="Traditional Arabic"/>
          <w:sz w:val="8"/>
          <w:szCs w:val="8"/>
          <w:rtl/>
        </w:rPr>
      </w:pPr>
    </w:p>
    <w:p>
      <w:pPr>
        <w:bidi/>
        <w:spacing w:before="0" w:after="40" w:line="480" w:lineRule="exac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الموضوع الثاني</w:t>
      </w:r>
    </w:p>
    <w:p>
      <w:pPr>
        <w:bidi/>
        <w:spacing w:before="2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التاريخ:</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الأول: (06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 اتّسمت مرحلة </w:t>
      </w:r>
      <w:r>
        <w:rPr>
          <w:rFonts w:ascii="Traditional Arabic" w:hAnsi="Traditional Arabic" w:cs="Traditional Arabic" w:eastAsia="Traditional Arabic"/>
          <w:b/>
          <w:bCs/>
          <w:sz w:val="32"/>
          <w:szCs w:val="32"/>
          <w:u w:val="single"/>
          <w:rtl/>
          <w:lang w:bidi="ar-DZ"/>
        </w:rPr>
        <w:t xml:space="preserve">التّعايش السّلمي</w:t>
      </w:r>
      <w:r>
        <w:rPr>
          <w:rFonts w:ascii="Traditional Arabic" w:hAnsi="Traditional Arabic" w:cs="Traditional Arabic" w:eastAsia="Traditional Arabic"/>
          <w:sz w:val="32"/>
          <w:szCs w:val="32"/>
          <w:rtl/>
          <w:lang w:bidi="ar-DZ"/>
        </w:rPr>
        <w:t xml:space="preserve"> بتراجع حِدّة المجابهة بين </w:t>
      </w:r>
      <w:r>
        <w:rPr>
          <w:rFonts w:ascii="Traditional Arabic" w:hAnsi="Traditional Arabic" w:cs="Traditional Arabic" w:eastAsia="Traditional Arabic"/>
          <w:b/>
          <w:bCs/>
          <w:sz w:val="32"/>
          <w:szCs w:val="32"/>
          <w:u w:val="single"/>
          <w:rtl/>
          <w:lang w:bidi="ar-DZ"/>
        </w:rPr>
        <w:t xml:space="preserve">القطبين</w:t>
      </w:r>
      <w:r>
        <w:rPr>
          <w:rFonts w:ascii="Traditional Arabic" w:hAnsi="Traditional Arabic" w:cs="Traditional Arabic" w:eastAsia="Traditional Arabic"/>
          <w:sz w:val="32"/>
          <w:szCs w:val="32"/>
          <w:rtl/>
          <w:lang w:bidi="ar-DZ"/>
        </w:rPr>
        <w:t xml:space="preserve">، حيث باتت مواقفهما الدّيبلوماسيّة تجمع بين التّشدّد حينا وبين المرونة حينا آخر... وقد كان من العوامل التي ساعدت على حدوث هذه التّغييرات تضخّم </w:t>
      </w:r>
      <w:r>
        <w:rPr>
          <w:rFonts w:ascii="Traditional Arabic" w:hAnsi="Traditional Arabic" w:cs="Traditional Arabic" w:eastAsia="Traditional Arabic"/>
          <w:b/>
          <w:bCs/>
          <w:sz w:val="32"/>
          <w:szCs w:val="32"/>
          <w:u w:val="single"/>
          <w:rtl/>
          <w:lang w:bidi="ar-DZ"/>
        </w:rPr>
        <w:t xml:space="preserve">التّرسانة النّووية</w:t>
      </w:r>
      <w:r>
        <w:rPr>
          <w:rFonts w:ascii="Traditional Arabic" w:hAnsi="Traditional Arabic" w:cs="Traditional Arabic" w:eastAsia="Traditional Arabic"/>
          <w:sz w:val="32"/>
          <w:szCs w:val="32"/>
          <w:rtl/>
          <w:lang w:bidi="ar-DZ"/>
        </w:rPr>
        <w:t xml:space="preserve"> لكلّ من القطبين، وزيادة مخاطر المواجهة العسكرية بينهما، بحيث أصبح شُغلهما الشّاغل هو محاولة إيجاد صيغة للتّعايش المشترك يُمْكن من خلالها تجنّب مخاطر الدّمار الشّامل الذي سيلحق بهما وبالبشريّة كلّها...".</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المرجع: د/ ممدوح نصار ود/ أحمد وهبان. التّاريخ الدّيبلوماسي. العلاقات السّياسية بين القوى الكبرى (1991/1815). مرحلة التّعايش السّلمي. الإسكندرية مصر. صفحة 277.</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اشرح ما تحته خطّ في النّص.</w:t>
      </w:r>
    </w:p>
    <w:p>
      <w:pPr>
        <w:bidi/>
        <w:spacing w:before="2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عرّف بالشّخصيّات التّالية:</w:t>
      </w:r>
    </w:p>
    <w:p>
      <w:pPr>
        <w:bidi/>
        <w:spacing w:before="0" w:after="40" w:line="480" w:lineRule="exac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 كريم بلقاسم    – أندري جدانوف    – جون كنيدي</w:t>
      </w:r>
    </w:p>
    <w:p>
      <w:pPr>
        <w:bidi/>
        <w:spacing w:before="2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الثاني: (04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sz w:val="32"/>
          <w:szCs w:val="32"/>
          <w:rtl/>
          <w:lang w:bidi="ar-DZ"/>
        </w:rPr>
        <w:t xml:space="preserve">أدرك قادة الثّورة الجزائريّة أنّ نجاحها لن يكون إلاّ بتعبئة الشّعب للالتفاف حولها، وأدركت فرنسا كذلك أنّ القضاء على الثّورة لن يكون إلاّ بعزل الشّعب عنها.</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انطلاقا من العبارة واعتمادا على ما درست، اكتب مقالا تاريخيا تبيّن فيه:</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الوسائل التي اعتمد عليها قادة الثّورة لتعبئة الشّعب.</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مخطّطات فرنسا لعزل الشّعب عن الثّورة.</w:t>
      </w:r>
    </w:p>
    <w:p>
      <w:pPr>
        <w:pageBreakBefore/>
        <w:bidi/>
        <w:spacing w:before="0" w:after="0" w:line="120" w:lineRule="exact"/>
        <w:jc w:val="both"/>
        <w:rPr>
          <w:rFonts w:ascii="Traditional Arabic" w:hAnsi="Traditional Arabic" w:cs="Traditional Arabic" w:eastAsia="Traditional Arabic"/>
          <w:sz w:val="8"/>
          <w:szCs w:val="8"/>
          <w:rtl/>
        </w:rPr>
      </w:pP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الجغرافيا:</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الأول: (06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 نظرا إلى النّمو السّريع لاقتصادات </w:t>
      </w:r>
      <w:r>
        <w:rPr>
          <w:rFonts w:ascii="Traditional Arabic" w:hAnsi="Traditional Arabic" w:cs="Traditional Arabic" w:eastAsia="Traditional Arabic"/>
          <w:b/>
          <w:bCs/>
          <w:sz w:val="32"/>
          <w:szCs w:val="32"/>
          <w:u w:val="single"/>
          <w:rtl/>
          <w:lang w:bidi="ar-DZ"/>
        </w:rPr>
        <w:t xml:space="preserve">مجموعة بريكس</w:t>
      </w:r>
      <w:r>
        <w:rPr>
          <w:rFonts w:ascii="Traditional Arabic" w:hAnsi="Traditional Arabic" w:cs="Traditional Arabic" w:eastAsia="Traditional Arabic"/>
          <w:sz w:val="32"/>
          <w:szCs w:val="32"/>
          <w:rtl/>
          <w:lang w:bidi="ar-DZ"/>
        </w:rPr>
        <w:t xml:space="preserve">، فهي مُرشّحة للتّحوّل إلى أقوى اقتصاد في العالم، متقدّمة على </w:t>
      </w:r>
      <w:r>
        <w:rPr>
          <w:rFonts w:ascii="Traditional Arabic" w:hAnsi="Traditional Arabic" w:cs="Traditional Arabic" w:eastAsia="Traditional Arabic"/>
          <w:b/>
          <w:bCs/>
          <w:sz w:val="32"/>
          <w:szCs w:val="32"/>
          <w:u w:val="single"/>
          <w:rtl/>
          <w:lang w:bidi="ar-DZ"/>
        </w:rPr>
        <w:t xml:space="preserve">مجموعة السّبع الكبرى</w:t>
      </w:r>
      <w:r>
        <w:rPr>
          <w:rFonts w:ascii="Traditional Arabic" w:hAnsi="Traditional Arabic" w:cs="Traditional Arabic" w:eastAsia="Traditional Arabic"/>
          <w:sz w:val="32"/>
          <w:szCs w:val="32"/>
          <w:rtl/>
          <w:lang w:bidi="ar-DZ"/>
        </w:rPr>
        <w:t xml:space="preserve"> ... وتعمل مجموعة بريكس على زيادة التّعاون والتّكامل بين اقتصاداتها، فقد قرّرت تحسين القدرة التّنافسيّة لاقتصاداتها في الأسواق العالمية وتعزيز العلاقات في مجال الطّاقة و</w:t>
      </w:r>
      <w:r>
        <w:rPr>
          <w:rFonts w:ascii="Traditional Arabic" w:hAnsi="Traditional Arabic" w:cs="Traditional Arabic" w:eastAsia="Traditional Arabic"/>
          <w:b/>
          <w:bCs/>
          <w:sz w:val="32"/>
          <w:szCs w:val="32"/>
          <w:u w:val="single"/>
          <w:rtl/>
          <w:lang w:bidi="ar-DZ"/>
        </w:rPr>
        <w:t xml:space="preserve">التّكنولوجيا</w:t>
      </w:r>
      <w:r>
        <w:rPr>
          <w:rFonts w:ascii="Traditional Arabic" w:hAnsi="Traditional Arabic" w:cs="Traditional Arabic" w:eastAsia="Traditional Arabic"/>
          <w:sz w:val="32"/>
          <w:szCs w:val="32"/>
          <w:rtl/>
          <w:lang w:bidi="ar-DZ"/>
        </w:rPr>
        <w:t xml:space="preserve">...".</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المرجع: أ/ وليد ابراهيم حذيفة. القوى الاقتصادية الصّاعدة في ظّل العولمة.</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جامعة دمشق. قسم الاقتصاد الدّولي.2015/2014.صفحة 198.</w:t>
      </w:r>
    </w:p>
    <w:p>
      <w:pPr>
        <w:bidi/>
        <w:spacing w:before="12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اشرح ما تحته خطّ في النّص.</w:t>
      </w:r>
    </w:p>
    <w:tbl>
      <w:tblPr>
        <w:bidiVisual/>
        <w:tblW w:w="9922"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7371"/>
        <w:gridCol w:w="2551"/>
      </w:tblGrid>
      <w:tr>
        <w:trPr>
          <w:jc w:val="center"/>
        </w:trPr>
        <w:tc>
          <w:tcPr>
            <w:tcW w:w="7371"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w:t>
            </w:r>
            <w:r>
              <w:rPr>
                <w:rFonts w:ascii="Traditional Arabic" w:hAnsi="Traditional Arabic" w:cs="Traditional Arabic" w:eastAsia="Traditional Arabic"/>
                <w:sz w:val="28"/>
                <w:szCs w:val="28"/>
                <w:rtl/>
                <w:lang w:bidi="ar-DZ"/>
              </w:rPr>
              <w:t xml:space="preserve"> إليك جدولا يمثّل تطور أسعار البترول من عام 2010 إلى عام 2018.</w:t>
            </w:r>
          </w:p>
        </w:tc>
        <w:tc>
          <w:tcPr>
            <w:tcW w:w="2551" w:type="dxa"/>
            <w:vAlign w:val="top"/>
          </w:tcPr>
          <w:p>
            <w:pPr>
              <w:bidi/>
              <w:spacing w:before="0" w:after="0" w:line="330"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الوحدة: بالدّولار.</w:t>
            </w:r>
          </w:p>
        </w:tc>
      </w:tr>
    </w:tbl>
    <w:tbl>
      <w:tblPr>
        <w:bidiVisual/>
        <w:tblW w:w="1020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73"/>
        <w:gridCol w:w="1037"/>
        <w:gridCol w:w="1145"/>
        <w:gridCol w:w="1145"/>
        <w:gridCol w:w="1145"/>
        <w:gridCol w:w="1092"/>
        <w:gridCol w:w="982"/>
        <w:gridCol w:w="763"/>
        <w:gridCol w:w="982"/>
        <w:gridCol w:w="1037"/>
      </w:tblGrid>
      <w:tr>
        <w:trPr>
          <w:jc w:val="center"/>
        </w:trPr>
        <w:tc>
          <w:tcPr>
            <w:tcW w:w="873"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السّنة</w:t>
            </w:r>
          </w:p>
        </w:tc>
        <w:tc>
          <w:tcPr>
            <w:tcW w:w="103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2010</w:t>
            </w:r>
          </w:p>
        </w:tc>
        <w:tc>
          <w:tcPr>
            <w:tcW w:w="1145"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2011</w:t>
            </w:r>
          </w:p>
        </w:tc>
        <w:tc>
          <w:tcPr>
            <w:tcW w:w="1145"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2012</w:t>
            </w:r>
          </w:p>
        </w:tc>
        <w:tc>
          <w:tcPr>
            <w:tcW w:w="1145"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2013</w:t>
            </w:r>
          </w:p>
        </w:tc>
        <w:tc>
          <w:tcPr>
            <w:tcW w:w="1092"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2014</w:t>
            </w:r>
          </w:p>
        </w:tc>
        <w:tc>
          <w:tcPr>
            <w:tcW w:w="982"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2015</w:t>
            </w:r>
          </w:p>
        </w:tc>
        <w:tc>
          <w:tcPr>
            <w:tcW w:w="763"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2016</w:t>
            </w:r>
          </w:p>
        </w:tc>
        <w:tc>
          <w:tcPr>
            <w:tcW w:w="982"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2017</w:t>
            </w:r>
          </w:p>
        </w:tc>
        <w:tc>
          <w:tcPr>
            <w:tcW w:w="103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2018</w:t>
            </w:r>
          </w:p>
        </w:tc>
      </w:tr>
      <w:tr>
        <w:trPr>
          <w:jc w:val="center"/>
        </w:trPr>
        <w:tc>
          <w:tcPr>
            <w:tcW w:w="873"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السّعر</w:t>
            </w:r>
          </w:p>
        </w:tc>
        <w:tc>
          <w:tcPr>
            <w:tcW w:w="103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80.15</w:t>
            </w:r>
          </w:p>
        </w:tc>
        <w:tc>
          <w:tcPr>
            <w:tcW w:w="1145"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112.94</w:t>
            </w:r>
          </w:p>
        </w:tc>
        <w:tc>
          <w:tcPr>
            <w:tcW w:w="1145"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111.05</w:t>
            </w:r>
          </w:p>
        </w:tc>
        <w:tc>
          <w:tcPr>
            <w:tcW w:w="1145"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112.51</w:t>
            </w:r>
          </w:p>
        </w:tc>
        <w:tc>
          <w:tcPr>
            <w:tcW w:w="1092"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100.23</w:t>
            </w:r>
          </w:p>
        </w:tc>
        <w:tc>
          <w:tcPr>
            <w:tcW w:w="982"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53.07</w:t>
            </w:r>
          </w:p>
        </w:tc>
        <w:tc>
          <w:tcPr>
            <w:tcW w:w="763"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45</w:t>
            </w:r>
          </w:p>
        </w:tc>
        <w:tc>
          <w:tcPr>
            <w:tcW w:w="982"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49.67</w:t>
            </w:r>
          </w:p>
        </w:tc>
        <w:tc>
          <w:tcPr>
            <w:tcW w:w="103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71.05</w:t>
            </w:r>
          </w:p>
        </w:tc>
      </w:tr>
    </w:tbl>
    <w:p>
      <w:pPr>
        <w:bidi/>
        <w:spacing w:before="0" w:after="4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المصدر: مجلّة نور للدّراسات الاقتصادية. مجلّد 05. عدد 02. ديسمبر 2019. صفحة 190.</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علّق على المعطيات الإحصائيّة الواردة في الجدول.</w:t>
      </w:r>
    </w:p>
    <w:p>
      <w:pPr>
        <w:bidi/>
        <w:spacing w:before="2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الثاني: (04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sz w:val="32"/>
          <w:szCs w:val="32"/>
          <w:rtl/>
          <w:lang w:bidi="ar-DZ"/>
        </w:rPr>
        <w:t xml:space="preserve">لم يكن الاتّحاد الأوربي لينجح لولا تبنّيه سياسة التّكتّل التي جعلت منه قوّة اقتصادية عالمية، وأزالت العديد من المعيقات التي تعترضه.</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انطلاقا من العبارة واعتمادا على ما درست، اكتب مقالا جغرافيا تبيّن فيه:</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أهميّة سياسة التّكتّل في قوّة اقتصاد الاتّحاد الأوربي.</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المعيقات الدّاخلية التي ما زالت تعترضه.</w:t>
      </w:r>
    </w:p>
    <w:p>
      <w:pPr>
        <w:bidi/>
        <w:spacing w:before="1000" w:after="40" w:line="390"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انتهى الموضوع الثاني</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30"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اختبار في مادة: التاريخ والجغرافيا / الشعبة: علوم تجريبية، رياضيات، تقني رياضي/ بكالوريا 2023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30"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اختبار في مادة: التاريخ والجغرافيا / الشعبة: علوم تجريبية، رياضيات، تقني رياضي/ بكالوريا 2023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20" w:lineRule="exact"/>
      <w:jc w:val="both"/>
      <w:rPr>
        <w:rFonts w:ascii="Traditional Arabic" w:hAnsi="Traditional Arabic" w:cs="Traditional Arabic" w:eastAsia="Traditional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