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2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الجمهورية الجزائرية الديمقراطية الشعبية</w:t>
      </w:r>
    </w:p>
    <w:p>
      <w:pPr>
        <w:bidi/>
        <w:spacing w:before="0" w:after="20" w:line="450"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p>
      <w:pPr>
        <w:bidi/>
        <w:spacing w:before="0" w:after="20" w:line="450"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الدورة: 2026</w:t>
            </w:r>
          </w:p>
        </w:tc>
      </w:tr>
      <w:tr>
        <w:trPr>
          <w:jc w:val="center"/>
        </w:trPr>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علوم تجريبية، رياضيات، تقني رياضي، فنون</w:t>
            </w:r>
          </w:p>
        </w:tc>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03 سا و30 د</w:t>
            </w:r>
          </w:p>
        </w:tc>
      </w:tr>
    </w:tbl>
    <w:p>
      <w:pPr>
        <w:bidi/>
        <w:spacing w:before="120" w:after="6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الموضوع الأوّل</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التّاريخ:</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"...كما تعتبر عودة ديغول إلى السّلطة إثر </w:t>
      </w:r>
      <w:r>
        <w:rPr>
          <w:rFonts w:ascii="Traditional Arabic" w:hAnsi="Traditional Arabic" w:cs="Traditional Arabic" w:eastAsia="Traditional Arabic"/>
          <w:b/>
          <w:bCs/>
          <w:sz w:val="32"/>
          <w:szCs w:val="32"/>
          <w:u w:val="single"/>
          <w:rtl/>
          <w:lang w:bidi="ar-DZ"/>
        </w:rPr>
        <w:t xml:space="preserve">أحداث 13 ماي 1958</w:t>
      </w:r>
      <w:r>
        <w:rPr>
          <w:rFonts w:ascii="Traditional Arabic" w:hAnsi="Traditional Arabic" w:cs="Traditional Arabic" w:eastAsia="Traditional Arabic"/>
          <w:sz w:val="32"/>
          <w:szCs w:val="32"/>
          <w:rtl/>
          <w:lang w:bidi="ar-DZ"/>
        </w:rPr>
        <w:t xml:space="preserve"> بالجزائر ظرفًا خارجيًا هامًّا، إذ أنّ هذا الأخير سعى إلى محاصرة الثّورة وعزلها دبلوماسيًا، لذا أصبح من الضّروري تأسيس حكومة مؤقّتة للجمهورية الجزائرية كخطّة هجومية </w:t>
      </w:r>
      <w:r>
        <w:rPr>
          <w:rFonts w:ascii="Traditional Arabic" w:hAnsi="Traditional Arabic" w:cs="Traditional Arabic" w:eastAsia="Traditional Arabic"/>
          <w:b/>
          <w:bCs/>
          <w:sz w:val="32"/>
          <w:szCs w:val="32"/>
          <w:u w:val="single"/>
          <w:rtl/>
          <w:lang w:bidi="ar-DZ"/>
        </w:rPr>
        <w:t xml:space="preserve">دبلوماسيّة</w:t>
      </w:r>
      <w:r>
        <w:rPr>
          <w:rFonts w:ascii="Traditional Arabic" w:hAnsi="Traditional Arabic" w:cs="Traditional Arabic" w:eastAsia="Traditional Arabic"/>
          <w:sz w:val="32"/>
          <w:szCs w:val="32"/>
          <w:rtl/>
          <w:lang w:bidi="ar-DZ"/>
        </w:rPr>
        <w:t xml:space="preserve">، وقصد الاستفادة من الصّراع بين الشّرق والغرب في إطار الحرب الباردة، لكسب الدّعم المادّي والمعنوي في </w:t>
      </w:r>
      <w:r>
        <w:rPr>
          <w:rFonts w:ascii="Traditional Arabic" w:hAnsi="Traditional Arabic" w:cs="Traditional Arabic" w:eastAsia="Traditional Arabic"/>
          <w:b/>
          <w:bCs/>
          <w:sz w:val="32"/>
          <w:szCs w:val="32"/>
          <w:u w:val="single"/>
          <w:rtl/>
          <w:lang w:bidi="ar-DZ"/>
        </w:rPr>
        <w:t xml:space="preserve">المحافل الدّولية</w:t>
      </w:r>
      <w:r>
        <w:rPr>
          <w:rFonts w:ascii="Traditional Arabic" w:hAnsi="Traditional Arabic" w:cs="Traditional Arabic" w:eastAsia="Traditional Arabic"/>
          <w:sz w:val="32"/>
          <w:szCs w:val="32"/>
          <w:rtl/>
          <w:lang w:bidi="ar-DZ"/>
        </w:rPr>
        <w:t xml:space="preserve">..."</w:t>
      </w:r>
    </w:p>
    <w:p>
      <w:pPr>
        <w:bidi/>
        <w:spacing w:before="0" w:after="0" w:line="360" w:lineRule="exac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كتاب مرجعي عن الثّورة التّحريرية 1954–1962، منشورات المركز الوطني للدّراسات والبحث</w:t>
      </w:r>
    </w:p>
    <w:p>
      <w:pPr>
        <w:bidi/>
        <w:spacing w:before="0" w:after="0" w:line="360" w:lineRule="exac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في الحركة الوطنية وثورة أوّل نوفمبر 1954، ص 98</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عرّف بالشّخصيات التّالية:</w:t>
      </w: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 هوّاري بومدين    – رونالد ريغن    – جواهر لال نهرو</w:t>
      </w:r>
    </w:p>
    <w:p>
      <w:pPr>
        <w:bidi/>
        <w:spacing w:before="3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 أُقحم العالم الثّالث رغما عنه في صراع الحرب الباردة بين المعسكرين، ممّا عرّضه لأخطار سياسية واقتصادية وعسكرية، دفعته للتّصدّي لهذه الأخطار بأشكال مختلفة.</w:t>
      </w:r>
    </w:p>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تاريخيًّا تُبيّن فيه:</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تداعيات صراع الحرب الباردة على العالم الثّالث.</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موقف العالم الثّالث من هذا الصّراع.</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الجغرافيا: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وهكذا يظلّ الإنجاز الرّئيسي للرّابطة أنّها قطعت شوطاً على طريق الاندماج الاقتصادي، حيث بدأ الحديث عن منطقةٍ للتّجارة الحرّة، واتّحادٍ للمستهلكين وسوقٍ مشتركةٍ </w:t>
      </w:r>
      <w:r>
        <w:rPr>
          <w:rFonts w:ascii="Traditional Arabic" w:hAnsi="Traditional Arabic" w:cs="Traditional Arabic" w:eastAsia="Traditional Arabic"/>
          <w:b/>
          <w:bCs/>
          <w:sz w:val="32"/>
          <w:szCs w:val="32"/>
          <w:u w:val="single"/>
          <w:rtl/>
          <w:lang w:bidi="ar-DZ"/>
        </w:rPr>
        <w:t xml:space="preserve">للآسيان</w:t>
      </w:r>
      <w:r>
        <w:rPr>
          <w:rFonts w:ascii="Traditional Arabic" w:hAnsi="Traditional Arabic" w:cs="Traditional Arabic" w:eastAsia="Traditional Arabic"/>
          <w:sz w:val="32"/>
          <w:szCs w:val="32"/>
          <w:rtl/>
          <w:lang w:bidi="ar-DZ"/>
        </w:rPr>
        <w:t xml:space="preserve">، وذلك على الرّغم من أنّ الهدف الرّئيسي للآسيان كان التّعاون الاقتصادي وليس الاندماج الاقتصادي أو السّوق المشتركة... وتمّ الاتّفاق على الإسراع لتخفيض </w:t>
      </w:r>
      <w:r>
        <w:rPr>
          <w:rFonts w:ascii="Traditional Arabic" w:hAnsi="Traditional Arabic" w:cs="Traditional Arabic" w:eastAsia="Traditional Arabic"/>
          <w:b/>
          <w:bCs/>
          <w:sz w:val="32"/>
          <w:szCs w:val="32"/>
          <w:u w:val="single"/>
          <w:rtl/>
          <w:lang w:bidi="ar-DZ"/>
        </w:rPr>
        <w:t xml:space="preserve">الرّسوم الجمركية</w:t>
      </w:r>
      <w:r>
        <w:rPr>
          <w:rFonts w:ascii="Traditional Arabic" w:hAnsi="Traditional Arabic" w:cs="Traditional Arabic" w:eastAsia="Traditional Arabic"/>
          <w:sz w:val="32"/>
          <w:szCs w:val="32"/>
          <w:rtl/>
          <w:lang w:bidi="ar-DZ"/>
        </w:rPr>
        <w:t xml:space="preserve"> بهدف إنشاء </w:t>
      </w:r>
      <w:r>
        <w:rPr>
          <w:rFonts w:ascii="Traditional Arabic" w:hAnsi="Traditional Arabic" w:cs="Traditional Arabic" w:eastAsia="Traditional Arabic"/>
          <w:b/>
          <w:bCs/>
          <w:sz w:val="32"/>
          <w:szCs w:val="32"/>
          <w:u w:val="single"/>
          <w:rtl/>
          <w:lang w:bidi="ar-DZ"/>
        </w:rPr>
        <w:t xml:space="preserve">منطقة تجارة حرّة</w:t>
      </w:r>
      <w:r>
        <w:rPr>
          <w:rFonts w:ascii="Traditional Arabic" w:hAnsi="Traditional Arabic" w:cs="Traditional Arabic" w:eastAsia="Traditional Arabic"/>
          <w:sz w:val="32"/>
          <w:szCs w:val="32"/>
          <w:rtl/>
          <w:lang w:bidi="ar-DZ"/>
        </w:rPr>
        <w:t xml:space="preserve">..."</w:t>
      </w:r>
    </w:p>
    <w:p>
      <w:pPr>
        <w:bidi/>
        <w:spacing w:before="0" w:after="0" w:line="360" w:lineRule="exac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د/ ماجدة علي صالح، الآسيان وتجربة التّعاون الاقليمي، مركز البحث في الأنثروبولوجيا</w:t>
      </w:r>
    </w:p>
    <w:p>
      <w:pPr>
        <w:bidi/>
        <w:spacing w:before="0" w:after="0" w:line="360" w:lineRule="exac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الاجتماعية والثّقافية، الجزائر 2019. ص22.</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على خريطة أوربّا المرفقة </w:t>
      </w:r>
      <w:r>
        <w:rPr>
          <w:rFonts w:ascii="Traditional Arabic" w:hAnsi="Traditional Arabic" w:cs="Traditional Arabic" w:eastAsia="Traditional Arabic"/>
          <w:b/>
          <w:bCs/>
          <w:sz w:val="32"/>
          <w:szCs w:val="32"/>
          <w:rtl/>
          <w:lang w:bidi="ar-DZ"/>
        </w:rPr>
        <w:t xml:space="preserve">(صفحة 5 من 5)</w:t>
      </w:r>
      <w:r>
        <w:rPr>
          <w:rFonts w:ascii="Traditional Arabic" w:hAnsi="Traditional Arabic" w:cs="Traditional Arabic" w:eastAsia="Traditional Arabic"/>
          <w:sz w:val="32"/>
          <w:szCs w:val="32"/>
          <w:rtl/>
          <w:lang w:bidi="ar-DZ"/>
        </w:rPr>
        <w:t xml:space="preserve">، وقّع دول البينيلوكس.</w:t>
      </w:r>
    </w:p>
    <w:p>
      <w:pPr>
        <w:bidi/>
        <w:spacing w:before="4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 تسعى الجزائر اليوم إلى تغيير استراتيجيّة تجارتها الخارجية من خلال التّوجّه نحو الشّرق وإفريقيا. فبعدما كانت الدّول الأوربيّة شريكًا أساسيًا لفترة من الزّمن، حلّت روسيا والصّين وبعض الدّول الإفريقية ضمن الشّركاء الأساسيّين للجزائر بشكل أقوى عمّا سبق.</w:t>
      </w:r>
    </w:p>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جغرافيًّا تُبيّن فيه:</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واقع التّجارة الخارجية للجزائر.</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مساعي الدّولة الجزائرية لتطوير تجارتها الخارجية.</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الموضوع الثّاني</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التّاريخ:</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امتدّت ساحة الحرب الباردة إلى ما وراء الغرب و</w:t>
      </w:r>
      <w:r>
        <w:rPr>
          <w:rFonts w:ascii="Traditional Arabic" w:hAnsi="Traditional Arabic" w:cs="Traditional Arabic" w:eastAsia="Traditional Arabic"/>
          <w:b/>
          <w:bCs/>
          <w:sz w:val="32"/>
          <w:szCs w:val="32"/>
          <w:u w:val="single"/>
          <w:rtl/>
          <w:lang w:bidi="ar-DZ"/>
        </w:rPr>
        <w:t xml:space="preserve">الشّرق</w:t>
      </w:r>
      <w:r>
        <w:rPr>
          <w:rFonts w:ascii="Traditional Arabic" w:hAnsi="Traditional Arabic" w:cs="Traditional Arabic" w:eastAsia="Traditional Arabic"/>
          <w:sz w:val="32"/>
          <w:szCs w:val="32"/>
          <w:rtl/>
          <w:lang w:bidi="ar-DZ"/>
        </w:rPr>
        <w:t xml:space="preserve"> لتشمل العالم الثّالث سياسيًا واقتصاديًا... فدول آسيا وإفريقيا وأمريكا اللاّتينية دول حديثة الاستقلال، تسعى شعوبها من أجل تدعيمها... </w:t>
      </w:r>
      <w:r>
        <w:rPr>
          <w:rFonts w:ascii="Traditional Arabic" w:hAnsi="Traditional Arabic" w:cs="Traditional Arabic" w:eastAsia="Traditional Arabic"/>
          <w:b/>
          <w:bCs/>
          <w:sz w:val="32"/>
          <w:szCs w:val="32"/>
          <w:u w:val="single"/>
          <w:rtl/>
          <w:lang w:bidi="ar-DZ"/>
        </w:rPr>
        <w:t xml:space="preserve">بالاستقلال الاقتصادي</w:t>
      </w:r>
      <w:r>
        <w:rPr>
          <w:rFonts w:ascii="Traditional Arabic" w:hAnsi="Traditional Arabic" w:cs="Traditional Arabic" w:eastAsia="Traditional Arabic"/>
          <w:sz w:val="32"/>
          <w:szCs w:val="32"/>
          <w:rtl/>
          <w:lang w:bidi="ar-DZ"/>
        </w:rPr>
        <w:t xml:space="preserve">، وبلدانها تناضل فيها حركات تحرّر وطني لممارسة حقّها المشروع في </w:t>
      </w:r>
      <w:r>
        <w:rPr>
          <w:rFonts w:ascii="Traditional Arabic" w:hAnsi="Traditional Arabic" w:cs="Traditional Arabic" w:eastAsia="Traditional Arabic"/>
          <w:b/>
          <w:bCs/>
          <w:sz w:val="32"/>
          <w:szCs w:val="32"/>
          <w:u w:val="single"/>
          <w:rtl/>
          <w:lang w:bidi="ar-DZ"/>
        </w:rPr>
        <w:t xml:space="preserve">تقرير المصير</w:t>
      </w:r>
      <w:r>
        <w:rPr>
          <w:rFonts w:ascii="Traditional Arabic" w:hAnsi="Traditional Arabic" w:cs="Traditional Arabic" w:eastAsia="Traditional Arabic"/>
          <w:sz w:val="32"/>
          <w:szCs w:val="32"/>
          <w:rtl/>
          <w:lang w:bidi="ar-DZ"/>
        </w:rPr>
        <w:t xml:space="preserve">..."</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سميح عبد الفتاح، انهيار الإمبراطورية السّوفياتية، ص 34، عام 1996</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أكمل جدول الأحداث التّالي:</w:t>
      </w:r>
    </w:p>
    <w:tbl>
      <w:tblPr>
        <w:bidiVisual/>
        <w:tblW w:w="79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969"/>
        <w:gridCol w:w="3969"/>
      </w:tblGrid>
      <w:tr>
        <w:trPr>
          <w:jc w:val="center"/>
        </w:trPr>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الحدث</w:t>
            </w:r>
          </w:p>
        </w:tc>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تاريخه</w:t>
            </w:r>
          </w:p>
        </w:tc>
      </w:tr>
      <w:tr>
        <w:trPr>
          <w:jc w:val="center"/>
        </w:trPr>
        <w:tc>
          <w:tcPr>
            <w:tcW w:w="3969"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إعلان مبدأ جدانوف</w:t>
            </w:r>
          </w:p>
        </w:tc>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w:t>
            </w:r>
          </w:p>
        </w:tc>
      </w:tr>
      <w:tr>
        <w:trPr>
          <w:jc w:val="center"/>
        </w:trPr>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w:t>
            </w:r>
          </w:p>
        </w:tc>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28 جانفي إلى 04 فيفري 1957.</w:t>
            </w:r>
          </w:p>
        </w:tc>
      </w:tr>
      <w:tr>
        <w:trPr>
          <w:jc w:val="center"/>
        </w:trPr>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w:t>
            </w:r>
          </w:p>
        </w:tc>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19 سبتمبر 1958</w:t>
            </w:r>
          </w:p>
        </w:tc>
      </w:tr>
    </w:tbl>
    <w:p>
      <w:pPr>
        <w:bidi/>
        <w:spacing w:before="5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 كان للثّورة الجزائريّة تأثيرها العميق على الحياة الفرنسية في المجالات السّياسية، العسكرية، الاقتصادية والاجتماعية، وما اتّسمت به من خصائص هزّت دعائم الاستعمار، وقوّضت بنيانه طوال سبع سنوات ونيّف من الصّراع المستمرّ.</w:t>
      </w:r>
    </w:p>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تاريخيًّا تُبيّن فيه:</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خصائص الثّورة الجزائرية.</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تأثير الثّورة الجزائرية على الدّولة الفرنسية.</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الجغرافيا: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 مع تخلّي الدّولة عن التّدخل في النّشاط الاقتصادي الذي كان يحدّ من آليات </w:t>
      </w:r>
      <w:r>
        <w:rPr>
          <w:rFonts w:ascii="Traditional Arabic" w:hAnsi="Traditional Arabic" w:cs="Traditional Arabic" w:eastAsia="Traditional Arabic"/>
          <w:b/>
          <w:bCs/>
          <w:sz w:val="32"/>
          <w:szCs w:val="32"/>
          <w:u w:val="single"/>
          <w:rtl/>
          <w:lang w:bidi="ar-DZ"/>
        </w:rPr>
        <w:t xml:space="preserve">اقتصاد السّوق</w:t>
      </w:r>
      <w:r>
        <w:rPr>
          <w:rFonts w:ascii="Traditional Arabic" w:hAnsi="Traditional Arabic" w:cs="Traditional Arabic" w:eastAsia="Traditional Arabic"/>
          <w:sz w:val="32"/>
          <w:szCs w:val="32"/>
          <w:rtl/>
          <w:lang w:bidi="ar-DZ"/>
        </w:rPr>
        <w:t xml:space="preserve">، وخلق عراقيل تقف أمام تدفّق رؤوس الأموال وخاصّة الأجنبية منها، ممّا يؤثّر سلبًا على </w:t>
      </w:r>
      <w:r>
        <w:rPr>
          <w:rFonts w:ascii="Traditional Arabic" w:hAnsi="Traditional Arabic" w:cs="Traditional Arabic" w:eastAsia="Traditional Arabic"/>
          <w:b/>
          <w:bCs/>
          <w:sz w:val="32"/>
          <w:szCs w:val="32"/>
          <w:u w:val="single"/>
          <w:rtl/>
          <w:lang w:bidi="ar-DZ"/>
        </w:rPr>
        <w:t xml:space="preserve">الاستثمار</w:t>
      </w:r>
      <w:r>
        <w:rPr>
          <w:rFonts w:ascii="Traditional Arabic" w:hAnsi="Traditional Arabic" w:cs="Traditional Arabic" w:eastAsia="Traditional Arabic"/>
          <w:sz w:val="32"/>
          <w:szCs w:val="32"/>
          <w:rtl/>
          <w:lang w:bidi="ar-DZ"/>
        </w:rPr>
        <w:t xml:space="preserve"> المحلّي خاصّة وعلى الاقتصاد العالمي عامّةً، يوصي </w:t>
      </w:r>
      <w:r>
        <w:rPr>
          <w:rFonts w:ascii="Traditional Arabic" w:hAnsi="Traditional Arabic" w:cs="Traditional Arabic" w:eastAsia="Traditional Arabic"/>
          <w:b/>
          <w:bCs/>
          <w:sz w:val="32"/>
          <w:szCs w:val="32"/>
          <w:u w:val="single"/>
          <w:rtl/>
          <w:lang w:bidi="ar-DZ"/>
        </w:rPr>
        <w:t xml:space="preserve">صندوق النّقد الدّولي</w:t>
      </w:r>
      <w:r>
        <w:rPr>
          <w:rFonts w:ascii="Traditional Arabic" w:hAnsi="Traditional Arabic" w:cs="Traditional Arabic" w:eastAsia="Traditional Arabic"/>
          <w:sz w:val="32"/>
          <w:szCs w:val="32"/>
          <w:rtl/>
          <w:lang w:bidi="ar-DZ"/>
        </w:rPr>
        <w:t xml:space="preserve"> الدّولة بتهيئة الظّروف الملائمة لنشاط الاستثمار الأجنبي."</w:t>
      </w:r>
    </w:p>
    <w:p>
      <w:pPr>
        <w:bidi/>
        <w:spacing w:before="0" w:after="0" w:line="360" w:lineRule="exac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سهير سعودي، صندوق النّقد الدّولي وآثار الاقتراض منه على الأنظمة القانونية للدّول</w:t>
      </w:r>
    </w:p>
    <w:p>
      <w:pPr>
        <w:bidi/>
        <w:spacing w:before="0" w:after="0" w:line="360" w:lineRule="exac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(دراسة حالة الجزائر)، جامعة أمّ البواقي، الصفحة 42.</w:t>
      </w:r>
    </w:p>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إليك جدولًا يمثّل أكبر الدّول المستوردة للبترول الخام سنة 2025.</w:t>
      </w:r>
    </w:p>
    <w:p>
      <w:pPr>
        <w:bidi/>
        <w:spacing w:before="0" w:after="4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الوحدة: (مليون برميل يوميا)</w:t>
      </w:r>
    </w:p>
    <w:tbl>
      <w:tblPr>
        <w:bidiVisual/>
        <w:tblW w:w="963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077"/>
        <w:gridCol w:w="907"/>
        <w:gridCol w:w="737"/>
        <w:gridCol w:w="1020"/>
        <w:gridCol w:w="1020"/>
        <w:gridCol w:w="793"/>
        <w:gridCol w:w="793"/>
        <w:gridCol w:w="737"/>
        <w:gridCol w:w="737"/>
        <w:gridCol w:w="907"/>
        <w:gridCol w:w="907"/>
      </w:tblGrid>
      <w:tr>
        <w:trPr>
          <w:jc w:val="center"/>
        </w:trPr>
        <w:tc>
          <w:tcPr>
            <w:tcW w:w="1077" w:type="dxa"/>
            <w:vAlign w:val="top"/>
          </w:tcPr>
          <w:p>
            <w:pPr>
              <w:bidi/>
              <w:spacing w:before="0" w:after="0" w:line="375"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الدّول</w:t>
            </w:r>
          </w:p>
        </w:tc>
        <w:tc>
          <w:tcPr>
            <w:tcW w:w="907" w:type="dxa"/>
            <w:vAlign w:val="top"/>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الصّين</w:t>
            </w:r>
          </w:p>
        </w:tc>
        <w:tc>
          <w:tcPr>
            <w:tcW w:w="737" w:type="dxa"/>
            <w:vAlign w:val="top"/>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الهند</w:t>
            </w:r>
          </w:p>
        </w:tc>
        <w:tc>
          <w:tcPr>
            <w:tcW w:w="1020" w:type="dxa"/>
            <w:vAlign w:val="top"/>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كوريا الجنوبية</w:t>
            </w:r>
          </w:p>
        </w:tc>
        <w:tc>
          <w:tcPr>
            <w:tcW w:w="1020" w:type="dxa"/>
            <w:vAlign w:val="top"/>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الو.م. الأمريكية</w:t>
            </w:r>
          </w:p>
        </w:tc>
        <w:tc>
          <w:tcPr>
            <w:tcW w:w="793" w:type="dxa"/>
            <w:vAlign w:val="top"/>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اليابان</w:t>
            </w:r>
          </w:p>
        </w:tc>
        <w:tc>
          <w:tcPr>
            <w:tcW w:w="793" w:type="dxa"/>
            <w:vAlign w:val="top"/>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هولندا</w:t>
            </w:r>
          </w:p>
        </w:tc>
        <w:tc>
          <w:tcPr>
            <w:tcW w:w="737" w:type="dxa"/>
            <w:vAlign w:val="top"/>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إيطاليا</w:t>
            </w:r>
          </w:p>
        </w:tc>
        <w:tc>
          <w:tcPr>
            <w:tcW w:w="737" w:type="dxa"/>
            <w:vAlign w:val="top"/>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إسبانيا</w:t>
            </w:r>
          </w:p>
        </w:tc>
        <w:tc>
          <w:tcPr>
            <w:tcW w:w="907" w:type="dxa"/>
            <w:vAlign w:val="top"/>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فرنسا</w:t>
            </w:r>
          </w:p>
        </w:tc>
        <w:tc>
          <w:tcPr>
            <w:tcW w:w="907" w:type="dxa"/>
            <w:vAlign w:val="top"/>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سنغافورة</w:t>
            </w:r>
          </w:p>
        </w:tc>
      </w:tr>
      <w:tr>
        <w:trPr>
          <w:jc w:val="center"/>
        </w:trPr>
        <w:tc>
          <w:tcPr>
            <w:tcW w:w="1077" w:type="dxa"/>
            <w:vAlign w:val="top"/>
          </w:tcPr>
          <w:p>
            <w:pPr>
              <w:bidi/>
              <w:spacing w:before="0" w:after="0" w:line="375" w:lineRule="exact"/>
              <w:jc w:val="left"/>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الكمّية المستوردة</w:t>
            </w:r>
          </w:p>
        </w:tc>
        <w:tc>
          <w:tcPr>
            <w:tcW w:w="907" w:type="dxa"/>
            <w:vAlign w:val="center"/>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10.22</w:t>
            </w:r>
          </w:p>
        </w:tc>
        <w:tc>
          <w:tcPr>
            <w:tcW w:w="737" w:type="dxa"/>
            <w:vAlign w:val="center"/>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4.86</w:t>
            </w:r>
          </w:p>
        </w:tc>
        <w:tc>
          <w:tcPr>
            <w:tcW w:w="1020" w:type="dxa"/>
            <w:vAlign w:val="center"/>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2.65</w:t>
            </w:r>
          </w:p>
        </w:tc>
        <w:tc>
          <w:tcPr>
            <w:tcW w:w="1020" w:type="dxa"/>
            <w:vAlign w:val="center"/>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2.47</w:t>
            </w:r>
          </w:p>
        </w:tc>
        <w:tc>
          <w:tcPr>
            <w:tcW w:w="793" w:type="dxa"/>
            <w:vAlign w:val="center"/>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2.23</w:t>
            </w:r>
          </w:p>
        </w:tc>
        <w:tc>
          <w:tcPr>
            <w:tcW w:w="793" w:type="dxa"/>
            <w:vAlign w:val="center"/>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2.03</w:t>
            </w:r>
          </w:p>
        </w:tc>
        <w:tc>
          <w:tcPr>
            <w:tcW w:w="737" w:type="dxa"/>
            <w:vAlign w:val="center"/>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1.98</w:t>
            </w:r>
          </w:p>
        </w:tc>
        <w:tc>
          <w:tcPr>
            <w:tcW w:w="737" w:type="dxa"/>
            <w:vAlign w:val="center"/>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1.23</w:t>
            </w:r>
          </w:p>
        </w:tc>
        <w:tc>
          <w:tcPr>
            <w:tcW w:w="907" w:type="dxa"/>
            <w:vAlign w:val="center"/>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0.997</w:t>
            </w:r>
          </w:p>
        </w:tc>
        <w:tc>
          <w:tcPr>
            <w:tcW w:w="907" w:type="dxa"/>
            <w:vAlign w:val="center"/>
          </w:tcPr>
          <w:p>
            <w:pPr>
              <w:bidi/>
              <w:spacing w:before="0" w:after="0" w:line="375" w:lineRule="exact"/>
              <w:jc w:val="center"/>
              <w:rPr>
                <w:rFonts w:ascii="Traditional Arabic" w:hAnsi="Traditional Arabic" w:cs="Traditional Arabic" w:eastAsia="Traditional Arabic"/>
                <w:sz w:val="25"/>
                <w:szCs w:val="25"/>
                <w:rtl/>
              </w:rPr>
            </w:pPr>
            <w:r>
              <w:rPr>
                <w:rFonts w:ascii="Traditional Arabic" w:hAnsi="Traditional Arabic" w:cs="Traditional Arabic" w:eastAsia="Traditional Arabic"/>
                <w:b/>
                <w:bCs/>
                <w:sz w:val="25"/>
                <w:szCs w:val="25"/>
                <w:rtl/>
                <w:lang w:bidi="ar-DZ"/>
              </w:rPr>
              <w:t xml:space="preserve">0.898</w:t>
            </w:r>
          </w:p>
        </w:tc>
      </w:tr>
    </w:tbl>
    <w:p>
      <w:pPr>
        <w:bidi/>
        <w:spacing w:before="0" w:after="4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المصدر: مجلّة بيانات أبحاث الطّاقة، 2025</w:t>
      </w:r>
    </w:p>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علّق على المعطيات الإحصائية الواردة في الجدول.</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 أدّى نموّ وتوسّع الشّركات متعدّدة الجنسيات إلى بروزها كقوى أساسية تتحكّم في مختلف النّشاطات الاقتصادية العالمية. وقد ازداد اهتمامها بالاستثمار في الدّول النّامية باستغلال ثرواتها، وتصريف منتجاتها، ممّا مكّنها من التّدخّل في شؤونها الاقتصادية والسّياسية وحتّى الاجتماعية.</w:t>
      </w:r>
    </w:p>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جغرافيًّا تُبيّن فيه:</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دور الشّركات متعدّدة الجنسيات في النّشاط الاقتصادي العالمي.</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انعكاسات نشاطها على دول الجنوب.</w:t>
      </w:r>
    </w:p>
    <w:p>
      <w:pPr>
        <w:bidi/>
        <w:spacing w:before="300" w:after="4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30"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اختبار في مادة: التاريخ والجغرافيا.  الشعبة: علوم تجريبية، رياضيات، تقني رياضي، فنون.  بكالوريا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30"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اختبار في مادة: التاريخ والجغرافيا.  الشعبة: علوم تجريبية، رياضيات، تقني رياضي، فنون.  بكالوريا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20" w:lineRule="exac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