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2011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﴿الَّذِينَ آمَنُوا وَتَطْمَئِنُّ قُلُوبُهُم بِذِكْرِ اللَّهِ ۗ أَلَا بِذِكْرِ اللَّهِ تَطْمَئِنُّ الْقُلُوبُ﴾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[سورة الرعد/28]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الآية إشارة إلى اهتمام القرآن الكريم بالصحّة. إلى أي قسم من أقسام الصحّة أشارت الآية؟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يحقّق الإسلام هذه الصحّة بتنمية صفات أساسية في شخصية المسلم. اذكر اثنتين منها مع الشّرح.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تكلّم عن مظهرين من مظاهر محافظة القرآن الكريم على الصحّة الجسمية للإنسان من خلال ما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دلّت الآية الكريمة على قيمة فردية وهي طمأنينة القلب، اذكر أربعا من هذه القيم من خلال ما درست.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الآية الكريمة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حرّم الله تعالى الرّبا لمَا فيه من المفاسد الاجتماعية والاقتصادية.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قاعدتين من قواعد استبعاد المبادلات الرّبوية.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أنواع الرّبا.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مراحل تحريم الرّبا.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6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أبي هريرة رضي الله عنه، أنّ رسول الله صلّى الله عليه وسلم قال: "إِذَا مَاتَ الإِنْسَانُ انْقَطَعَ عَنْهُ عَمَلُهُ إِلاَّ مِنْ ثَلاَثَةٍ: إِلاَّ مِنْ صَدَقَةٍ جَارِيَةٍ، أَوْ عِلْمٍ يُنْتَفَعُ بِهِ، أَوْ وَلَدٍ صَالِحٍ يَدْعُو لَهُ".</w:t>
      </w: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  [رواه الإمام مسلم]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العبارات التّالية: "صدقة جارية"، "علم ينتفع به"، "ولد صالح يدعو له".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الوقف لغة واصطلاحا.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هو المَردود الاقتصادي للوقف؟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أشار الحديث الشّريف إلى قيمتين من القيم القرآنية. اذكرهما وصنّفهما.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الحديث الشّريف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حافظت الشّريعة الإسلامية على الأنساب من خلال تحريم التبنّي وتشريع الكفالة.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بيّن طُرق إثبات النّسب في الشّريعة الإسلامية.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المقصود بالبصمة الوراثية؟ وهل تُعتبر دليلا من أدلّة إثبات النّسب؟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الكفالة لغة واصطلاحا، مع ذكر دليل مشروعيّتها من القرآن والسنّة.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