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في الآية إشارة إلى اهتمام القرآن الكريم بالصحّة. إلى أي قسم من أقسام الصحّة أشارت الآية؟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الصحّة النفسية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يحقّق الإسلام هذه الصحّة بتنمية صفات أساسية في شخصية المسلم. اذكر اثنتين منها مع الشّرح.</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الأول: قوّة الصلة بالله: تتحقّق باستحضار مراقبة الله من خلال الامتثال لأوامر الله ونواهيه وبكثرة العبادات والأذكار.. وهي أمر أساسي في بناء شخصية المسلم، حتّى تكون حياته خالية من القلق والاضطرابات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الثاني: الصّبر عند الشدائد: هو ثبات المؤمن عند نزول المصائب والهموم، لذلك رتّب الله على ذلك الأجر كما أثنى على الصابرين.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الثالث: المرونة في مواجهة الواقع: هي إيجابية المسلم في مواجهته لجميع الوقائع، فهو شاكر لله عند النعم وثابت عند نزول المصائب. وهي من أهم ما يحصن الإنسان من القلق أو الاضطراب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الرابع: الثبات والتوازن: وهو الاستمرار والمداومة على الطاعات دون إفراط أو تفريط..</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الخامس: التفاؤل وعدم اليأس: هو حسن الظن بالله وعدم القنوط وفقدان الأمل في رحمة الله.. فالمؤمن متفائل دائما لا يتطرق اليأس إلى نفسه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المظهر السادس: التزكية والأخلاق: هي الحرص على تطهير النفس من الرذائل وتربيتها على المثل العليا التي تجعل الإنسان محبوبا عند الله وعند الناس، وبذلك يسعد الإنسان ويعيش مطمئنا.</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تكلّم عن مظهرين من مظاهر محافظة القرآن الكريم على الصحّة الجسمية للإنسان من خلال ما درست.</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تنمية القوّة وتوفير الصحّة الإيجابية بمفهومها الحديث: صحّة الأجسام وجمالها من الأمور الّتي أولاها الإسلام عناية فائقة، واعتبرها من صميم رسالته، فأرشد إلى ضرورة تنمية قوة الجسم بصورها الإيجابية المختلفة (الأكل الصحّي، ممارسة الرياضة).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الإعفاء من بعض الفروض: اهتمّ الإسلام بعدم تعريض صحة الجسم إلى ما يُضعفها، فقد أسقط في ظروف خاصّة الفروضَ أو خفّضها، كإباحة الإفطار للمسافر في الصّيام.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دعوة الإسلام إلى تطبيق أسس الرّعاية الصّحية الثّلاثة: وهي الوقاية والعلاج والتّأهيل، فالإسلام اعتنى بتنمية قوة الجسم وسلامته وصحته، حيث أوجب وقاية الجسم من حدوث الأمراض نتيجة لإهمال قواعد الصّحة العامة أو التّفريط في الطّعام أو الشّراب، أو الانغماس في ملذات حسية تضر بالصّحة.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الوقاية من الأمراض: ففي مجال الصّحة الشّخصية كرّم الإسلام جسم الإنسان، فجعل طهارته التّامة أساسا لابد منه لكلّ صلاة، وكلف المسلم أن يغسل جسمه كلّه غسلا جيدا في أحيان كثيرة، وربط هذا الغسل بالعبادات، فلا تصح العبادة بدونه..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باب الوقاية من الأمراض حرّم الإسلام شرب الخمر، لما له من مضار على الصّحة.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وبالقياس فإنّ الإسلام يحرّم تناول المخدرات والعقاقير والأدوية الّتي تُذهب العقل، كالحشيش وغيرها من المواد..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ومن باب الوقاية من الأمراض نهى الإسلام عن الإسراف في الطّعام.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كما حرّم المتعة غير الشّرعية، إذ حرّم الزنا لأنّه يسبب أمراضا كثيرة، تفتك بجسم الإنسان.</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دلّت الآية الكريمة على قيمة فردية وهي طمأنينة القلب، اذكر أربعا من هذه القيم من خلال ما درست.</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خلق الرّحمة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الصّبر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الإحسان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الصّدق</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العفو</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5 / استخرج من الآية الكريمة ثلاث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 القلوب تطمئن بذكر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 الحث على ذكر 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 طمأنينة القلب من علامات الإيمان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 طمأنينة القلب من آثار الإيمان بالله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 الحث على الاهتمام بإصلاح القلوب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الأول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اذكر قاعدتين من قواعد استبعاد المبادلات الرّبوية.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الأولى: في حال تبادل شيء بجنسه، فيشترط: أ - المساواة في البدلين مثلا بمثل سواء بسواء. ب - التّسليم الفوري يدا بيد.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الثّانية: تبادل شيئين من نفس النّوع وليس من نفس الجنس.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القاعدة الثّالثة: في حالة تبادل شيئين مختلفين في الجنس ومختلفين في العلة كالقمح بالنقود، فهنا يجوز كل شيء ويسقط الشّرطان ويعود التّبادل إلى مبدأ الحرية، فيمكن أن يتم بالتّساوي أو بغيره فورا أو نسيئة.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اذكر أنواع الرّبا.</w:t>
            </w:r>
          </w:p>
        </w:tc>
        <w:tc>
          <w:tcPr>
            <w:tcW w:w="6606" w:type="dxa"/>
            <w:vAlign w:val="top"/>
          </w:tcPr>
          <w:tbl>
            <w:tblPr>
              <w:bidiVisual/>
              <w:tblW w:w="6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203"/>
              <w:gridCol w:w="3203"/>
            </w:tblGrid>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النوع الأول: ربا الفضل</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تعريفه: هو البيع مع زيادة أحد العوضين عن الآخر من نفس الجنس</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النوع الثاني: ربا النّسيئة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تعريفه: هو الزيادة المشروطة التي يأخذها الدائن من المدين نظير التأجيل</w:t>
                  </w:r>
                </w:p>
              </w:tc>
            </w:tr>
          </w:tbl>
          <w:p>
            <w:pPr>
              <w:bidi/>
              <w:spacing w:before="0" w:after="0" w:line="54" w:lineRule="atLeast"/>
              <w:jc w:val="both"/>
              <w:rPr>
                <w:rFonts w:ascii="Simplified Arabic" w:hAnsi="Simplified Arabic" w:cs="Simplified Arabic" w:eastAsia="Simplified Arabic"/>
                <w:sz w:val="4"/>
                <w:szCs w:val="4"/>
                <w:rtl/>
              </w:rPr>
            </w:pP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0.5×2</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0.5×2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اذكر مراحل تحريم الرّبا.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الأولى: قال تعالى: ﴿وَمَا آتَيْتُم مِّن رِّبًا لِّيَرْبُوَ فِي أَمْوَالِ النَّاسِ فَلَا يَرْبُو عِندَ اللَّهِ﴾ [الروم: 39]</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الثانية: قال تعالى: ﴿فَبِظُلْمٍ مِّنَ الَّذِينَ هَادُوا حَرَّمْنَا عَلَيْهِمْ طَيِّبَاتٍ أُحِلَّتْ لَهُمْ وَبِصَدِّهِمْ عَن سَبِيلِ اللَّهِ كَثِيرًا﴾ [النساء: 160-161]</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الثالثة: قال تعالى: ﴿يَا أَيُّهَا الَّذِينَ آمَنُوا لَا تَأْكُلُوا الرِّبَا أَضْعَافًا مُّضَاعَفَةً ۖ وَاتَّقُوا اللَّهَ لَعَلَّكُمْ تُفْلِحُونَ﴾ [آل عمران: 130]</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المرحلة الرابعة: قال تعالى: ﴿الَّذِينَ يَأْكُلُونَ الرِّبَا لَا يَقُومُونَ إِلَّا كَمَا يَقُومُ الَّذِي يَتَخَبَّطُهُ الشَّيْطَانُ مِنَ الْمَسِّ ۚ ذَٰلِكَ بِأَنَّهُمْ قَالُوا إِنَّمَا الْبَيْعُ مِثْلُ الرِّبَا ۗ وَأَحَلَّ اللَّهُ الْبَيْعَ وَحَرَّمَ الرِّبَا﴾ [البقرة: 275]</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12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2000"/>
        <w:gridCol w:w="6606"/>
        <w:gridCol w:w="800"/>
        <w:gridCol w:w="800"/>
      </w:tblGrid>
      <w:tr>
        <w:trPr>
          <w:tblHeader/>
          <w:jc w:val="center"/>
        </w:trPr>
        <w:tc>
          <w:tcPr>
            <w:tcW w:w="2000"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محاور الموضوع</w:t>
            </w:r>
          </w:p>
        </w:tc>
        <w:tc>
          <w:tcPr>
            <w:tcW w:w="6606" w:type="dxa"/>
            <w:vMerge w:val="restart"/>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عناصر الإجابة</w:t>
            </w:r>
          </w:p>
        </w:tc>
        <w:tc>
          <w:tcPr>
            <w:tcW w:w="1600" w:type="dxa"/>
            <w:gridSpan w:val="2"/>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العلامة</w:t>
            </w:r>
          </w:p>
        </w:tc>
      </w:tr>
      <w:tr>
        <w:trPr>
          <w:tblHeader/>
          <w:jc w:val="center"/>
        </w:trPr>
        <w:tc>
          <w:tcPr>
            <w:tcW w:w="2000"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66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مجزأة</w:t>
            </w:r>
          </w:p>
        </w:tc>
        <w:tc>
          <w:tcPr>
            <w:tcW w:w="800" w:type="dxa"/>
            <w:vAlign w:val="top"/>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rtl/>
                <w:lang w:bidi="ar-DZ"/>
              </w:rPr>
              <w:t xml:space="preserve">مجموع</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الأول</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اشرح العبارات التّالية: "صدقة جارية"، "علم ينتفع به"، "ولد صالح يدعو له".</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صدقة جارية: هي كلّ ما يتركه العبد وقفا لله تعالى لفئة معيّنة أو جهة مخصوصة. كمن أوقف أرضا لبناء مسجد، أو مستشفى، أو أرض يكون خَراجُها لصالح طلبة العلم أو مؤسسة للنفع العام..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علم ينتفع به: هو كل منتوج علمي سواءً كان مادياً أو معنوياً أو اختراع ينتفع به الناس بعد وفاة صاحبه، كمن علّم النّاس، ومن ترك كتابا يتعلم النّاس منه سيصله ثوابُه، أو من اخترع آلة أو دواءً أو نحوهما.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ولد صالح يدعو له: هو الولد الصّالح الّذي يُخلّفه الإنسان، والّذي يتذكر والديه بالدعاء لأنّهما أحسنا تربيته، كأن يربي المسلم ابنه على الصلاح وطاعة الله.</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1×3</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عرّف الوقف لغة واصطلاحا.</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في اللغة: هو الحبس والمنع، ويقال: "وقفتُ الشّيء" أي حبسته.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واصطلاحا: توقُّف المالك عن التصرُّف في المال والانتفاع به لصالح الجهة الموقوف عليها، بنية التقرُّب والثواب.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ما هو المَردود الاقتصادي للوقف؟</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المساهمة في استثمار الأموال وتنميتها وإنشاء مشاريع اقتصادية.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تخفيف العبء المالي والمسؤوليات الملقاة على عاتق الدولة.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معالجة مشكلة الفقر وتحقيق تداول الأموال بين الأغنياء والفقراء.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المساهمة في التقليص من البطالة من خلال توفير مناصب شغل.</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2"/>
                <w:szCs w:val="22"/>
                <w:u w:val="single"/>
                <w:rtl/>
                <w:lang w:bidi="ar-DZ"/>
              </w:rPr>
              <w:t xml:space="preserve">ملاحظة: </w:t>
            </w:r>
            <w:r>
              <w:rPr>
                <w:rFonts w:ascii="Simplified Arabic" w:hAnsi="Simplified Arabic" w:cs="Simplified Arabic" w:eastAsia="Simplified Arabic"/>
                <w:sz w:val="22"/>
                <w:szCs w:val="22"/>
                <w:rtl/>
                <w:lang w:bidi="ar-DZ"/>
              </w:rPr>
              <w:t xml:space="preserve">(يكفي ذكر مردود واحد للوقف)</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4 / أشار الحديث الشّريف إلى قيمتين من القيم القرآنية. اذكرهما وصنّفهما.</w:t>
            </w:r>
          </w:p>
        </w:tc>
        <w:tc>
          <w:tcPr>
            <w:tcW w:w="6606" w:type="dxa"/>
            <w:vAlign w:val="top"/>
          </w:tcPr>
          <w:tbl>
            <w:tblPr>
              <w:bidiVisual/>
              <w:tblW w:w="6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60" w:type="dxa"/>
                <w:right w:w="60" w:type="dxa"/>
              </w:tblCellMar>
              <w:tblLook w:val="04A0" w:firstRow="1" w:lastRow="0" w:firstColumn="1" w:lastColumn="0" w:noHBand="0" w:noVBand="1"/>
            </w:tblPr>
            <w:tblGrid>
              <w:gridCol w:w="3203"/>
              <w:gridCol w:w="3203"/>
            </w:tblGrid>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1- التكافل الاجتماعي. (صدقة جارية)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اجتماعية</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2- التعاون. (صدقة جارية)</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اجتماعية</w:t>
                  </w:r>
                </w:p>
              </w:tc>
            </w:tr>
            <w:tr>
              <w:trPr>
                <w:jc w:val="center"/>
              </w:trPr>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3- المودّة والرّحمة. (ولد صالح يدعو له)</w:t>
                  </w:r>
                </w:p>
              </w:tc>
              <w:tc>
                <w:tcPr>
                  <w:tcW w:w="3203"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sz w:val="22"/>
                      <w:szCs w:val="22"/>
                      <w:rtl/>
                      <w:lang w:bidi="ar-DZ"/>
                    </w:rPr>
                    <w:t xml:space="preserve">نوعها: أسرية</w:t>
                  </w:r>
                </w:p>
              </w:tc>
            </w:tr>
          </w:tbl>
          <w:p>
            <w:pPr>
              <w:bidi/>
              <w:spacing w:before="0" w:after="0" w:line="54" w:lineRule="atLeast"/>
              <w:jc w:val="both"/>
              <w:rPr>
                <w:rFonts w:ascii="Simplified Arabic" w:hAnsi="Simplified Arabic" w:cs="Simplified Arabic" w:eastAsia="Simplified Arabic"/>
                <w:sz w:val="4"/>
                <w:szCs w:val="4"/>
                <w:rtl/>
              </w:rPr>
            </w:pP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2×2</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5 / استخرج من الحديث الشّريف أربع فوائد.</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مشروعية الوقف في الإسلام.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العلم النافع يعود على صاحبه بالخير.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دعوة الولد الصالح لوالديه تنفعهما بعد موتهما.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تنوع موارد الحسنات التي ينتفع بها المسلم يوم القيامة.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4"/>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الموضوع الثاني – الجزء الثاني</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1 / بيّن طُرق إثبات النّسب في الشّريعة الإسلامية.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1- الزواج الصحيح: العلاقة الزوجية القائمة على عقد شرعي 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الإقرار بالبنوة: الاعتراف بالبنوة المباشرة بحيث يقول الرجل هذا الولد مني.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البينة الشرعية: شهادة رجلين أو رجل وامرأتين.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البصمة الوراثية: وتعتبر من الوسائل الحديثة في إثبات النسب.</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2 / ما المقصود بالبصمة الوراثية؟ وهل تُعتبر دليلا من أدلّة إثبات النّسب؟</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نعم، تعتبر البصمة الوراثية دليلا من أدلّة إثبات النسب.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لأنها عبارة عن كشف آلي مطبوع مسجل عليه صورة واقعية حقيقية للصّفات الوراثية للإنسان (ADN)، وهي معاصرة وعلمية.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ولكن إذا لم تتيسّر الإمكانات لتعميم البصمة الوراثية فليس أمامنا بُدّ من الاستمرار في الوسائل الشّرعية المعروفة.</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2000" w:type="dxa"/>
            <w:vAlign w:val="top"/>
          </w:tcPr>
          <w:p>
            <w:pPr>
              <w:bidi/>
              <w:spacing w:before="0" w:after="0" w:line="297" w:lineRule="atLeas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3 / عرّف الكفالة لغة واصطلاحا، مع ذكر دليل مشروعيّتها من القرآن والسنّة.</w:t>
            </w:r>
          </w:p>
        </w:tc>
        <w:tc>
          <w:tcPr>
            <w:tcW w:w="66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لغة: الالتزام والضم.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شرعا: التزام حقّ ثابت في ذمة الغير مضمونة. وعرفها البعض بأنّها: التزام بضم اليتيم وضمان حقوقه.</w:t>
            </w:r>
          </w:p>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u w:val="single"/>
                <w:rtl/>
                <w:lang w:bidi="ar-DZ"/>
              </w:rPr>
              <w:t xml:space="preserve">دليل مشروعيتها: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قوله تعالى: ﴿وَكَفَّلَهَا زَكَرِيَّا﴾ [آل عمران: 37]</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قوله صلى الله عليه وسلّم: "أنا وكافل اليتيم كهاتين، وأشار بالسبابة والوسطى وفرّج بينهما شيئا". رواه أحمد</w:t>
            </w:r>
          </w:p>
        </w:tc>
        <w:tc>
          <w:tcPr>
            <w:tcW w:w="8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التعريف 2×0.5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الدليل 2×0.5</w:t>
            </w:r>
          </w:p>
        </w:tc>
        <w:tc>
          <w:tcPr>
            <w:tcW w:w="8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120" w:line="108" w:lineRule="atLeast"/>
        <w:jc w:val="both"/>
        <w:rPr>
          <w:rFonts w:ascii="Simplified Arabic" w:hAnsi="Simplified Arabic" w:cs="Simplified Arabic" w:eastAsia="Simplified Arabic"/>
          <w:sz w:val="8"/>
          <w:szCs w:val="8"/>
          <w:rtl/>
        </w:rPr>
      </w:pP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لمادة العلوم الإسلامية  بكالوريا دورة جوان 2011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