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Traditional Arabic" w:hAnsi="Traditional Arabic" w:cs="Traditional Arabic" w:eastAsia="Traditional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2021</w:t>
            </w:r>
          </w:p>
        </w:tc>
      </w:tr>
      <w:tr>
        <w:trPr>
          <w:jc w:val="center"/>
        </w:trPr>
        <w:tc>
          <w:tcPr>
            <w:tcW w:w="4406"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كل الشعب</w:t>
            </w:r>
          </w:p>
        </w:tc>
        <w:tc>
          <w:tcPr>
            <w:tcW w:w="1700" w:type="dxa"/>
            <w:vMerge/>
            <w:tcBorders>
              <w:top w:val="nil"/>
              <w:left w:val="nil"/>
              <w:bottom w:val="single" w:sz="8" w:space="0" w:color="000000"/>
              <w:right w:val="nil"/>
            </w:tcBorders>
            <w:vAlign w:val="top"/>
          </w:tcPr>
          <w:p>
            <w:pPr>
              <w:bidi/>
              <w:spacing w:before="0" w:after="0" w:line="378" w:lineRule="atLeast"/>
              <w:jc w:val="both"/>
              <w:rPr>
                <w:rFonts w:ascii="Traditional Arabic" w:hAnsi="Traditional Arabic" w:cs="Traditional Arabic" w:eastAsia="Traditional Arabic"/>
                <w:sz w:val="28"/>
                <w:szCs w:val="28"/>
                <w:rtl/>
              </w:rPr>
            </w:pPr>
          </w:p>
        </w:tc>
        <w:tc>
          <w:tcPr>
            <w:tcW w:w="4100"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 وَالصَّابِرِينَ فِي الْبَأْسَاءِ وَالضَّرَّاءِ وَحِينَ الْبَأْسِ ۗ أُولَٰئِكَ الَّذِينَ صَدَقُوا ۖ وَأُولَٰئِكَ هُمُ الْمُتَّقُونَ﴾</w:t>
      </w:r>
      <w:r>
        <w:rPr>
          <w:rFonts w:ascii="Traditional Arabic" w:hAnsi="Traditional Arabic" w:cs="Traditional Arabic" w:eastAsia="Traditional Arabic"/>
          <w:b/>
          <w:bCs/>
          <w:sz w:val="22"/>
          <w:szCs w:val="22"/>
          <w:rtl/>
          <w:lang w:bidi="ar-DZ"/>
        </w:rPr>
        <w:t xml:space="preserve">  [البقرة:177]</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"رسمُ الصُّور المُحبَّبَة للمؤمنين" من وسائل تثبيت العقيدة الإسلامية. – اشرح هذه الوسيلة، ثمّ اذكر سَبَبَين من أسباب الانحراف عن العقيدة الصّحيحة.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أشارت الآية الكريمة إلى علاقة الرّسالة المحمّدية بالرّسالات السّماوية السّابقة من جهة المعتقد. – عَدِّد اعتقادين لليهود وآخرين للنّصارى في الأنبياء عليهم السّلام.</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نصّت الآية الكريمة على بعضِ المقاصد الشرعية، وطُرقِ الحفاظ على الصّحّة النّفسيّة.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قسمين من أقسام المقاصد، ثمّ مثّل لأحدهما بمثالٍ من الآية.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اربط كلّ طريق من طُرقِ الحفاظ على الصّحّة النّفسيّة بما يدلُّ عليه في الآية الكريمة.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مِن أعظمِ القيم في القرآن الكريم: "الأمانة".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معناها ثمّ صنِّفها.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استنْبِطْ من الآية الكريمة قيمة أخرى من نفس الصّنف، مُبيّنا أثرها.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الآية حكمًا وفائدة.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أَنَّ رسول الله ﷺ قال: « لاَ يَزْنِي الزَّانِي حِينَ يَزْنِي وَهُوَ مُؤْمِنٌ، ولَا يَسْرِقُ حِينَ يَسْرِقُ وَهُوَ مُؤْمِنٌ، وَلَا يَشْرَبُ الخَمْرَ حِينَ يَشْرَبُهَا وَهُوَ مُؤْمِنٌ »</w:t>
      </w:r>
      <w:r>
        <w:rPr>
          <w:rFonts w:ascii="Traditional Arabic" w:hAnsi="Traditional Arabic" w:cs="Traditional Arabic" w:eastAsia="Traditional Arabic"/>
          <w:b/>
          <w:bCs/>
          <w:sz w:val="22"/>
          <w:szCs w:val="22"/>
          <w:rtl/>
          <w:lang w:bidi="ar-DZ"/>
        </w:rPr>
        <w:t xml:space="preserve">  [أخرجه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ذكَر الحديث الشّريف جُملةً من الجرائم: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نوعُ عقوباتِها؟ متى ينفَّذُ هذا النّوع من العقوبات؟ ولماذا؟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حدِّدْ عقوبات تلك الجرائم مع ذكر دليل عقوبة السّرقة من السّنّة.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من العقوبات الشّرعية: "القصاص والدّية". – كيف يَحكُمُ بهما القاضي حال الاعتداء على النَّفس؟</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هل يمكن للعقل أن يفسّر "تحديد مقدار هذه العقوبات"؟ علِّلْ إجابتك.</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عن النّبيّ ﷺ قال: « اجْتَنِبُوا السَّبْعَ المُوبِقاتِ. قالوا: يا رَسولَ اللَّهِ وما هُنَّ؟ قالَ: الشِّرْكُ باللَّهِ، والسِّحْرُ، وقَتْلُ النَّفْسِ الَّتِي حَرَّمَ اللهُ إلَّا بالحَقِّ، وأَكْلُ الرِّبا، وأَكْلُ مالِ اليَتِيمِ، والتَّوَلِّي يَومَ الزَّحْفِ، وقَذْفُ المُحْصَناتِ المُؤْمِناتِ الغافِلاتِ » — المُوبقات: المُهلكات – المُحصنات: العفيفات – التّولّي يوم الزّحف: الفرارُ من ميدان المعركة.</w:t>
      </w:r>
      <w:r>
        <w:rPr>
          <w:rFonts w:ascii="Traditional Arabic" w:hAnsi="Traditional Arabic" w:cs="Traditional Arabic" w:eastAsia="Traditional Arabic"/>
          <w:b/>
          <w:bCs/>
          <w:sz w:val="22"/>
          <w:szCs w:val="22"/>
          <w:rtl/>
          <w:lang w:bidi="ar-DZ"/>
        </w:rPr>
        <w:t xml:space="preserve">  [متفق عليه]</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الشّرك انحرافٌ عن العقيدة الإسلامية.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العقيدة الإسلاميّة لغةً واصطلاحًا.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اشرح أثرًا واحدًا للعقيدة الإسلاميّة على الفرد وآخر على المجتمع.</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أشار الحديثُ الشّريف إلى بعض مقاصد الشّريعة الإسلامية الضّروريّة.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استنبِطْ مقصدين ضروريّين مبيّنًا موضع الشّاهد في الحديث الشريف.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سَمِّ نوع العقوبة التي تحفظ المقصدين اللّذين استخرجتَهُما.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قذفُ المحصنات المؤمنات الغافلات يُنَافِي قيمة المعاشرة بالمعروف.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ما مفهوم القيم؟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صنِّف قيمة المعاشرة بالمعروف ثمّ اشرحها.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جاء في خطبة حجّة الوداع: «...أيّها النّاسُ إنّ ربّكم واحد، وإنّ أباكُم واحد، كلّكم لآدمَ وآدمُ من تراب، أكرمكم عند الله أتقاكم، وليس لعربيّ على عَجميّ فضل إلاّ بالتّقوى، ألا هل بلّغتُ؟ اللّهم فاشهد. قالوا: نعم، قال: فليبلّغ الشّاهدُ الغائبَ. أيّها النّاس إنّ الله قد قَسَمَ لكلّ وارثٍ نصيبَه من الميراث، ولا يجوز لوارثٍ وصيّة، ولا يجوز وصيّة في أكثر من الثُّلث...»</w:t>
      </w:r>
      <w:r>
        <w:rPr>
          <w:rFonts w:ascii="Traditional Arabic" w:hAnsi="Traditional Arabic" w:cs="Traditional Arabic" w:eastAsia="Traditional Arabic"/>
          <w:b/>
          <w:bCs/>
          <w:sz w:val="22"/>
          <w:szCs w:val="22"/>
          <w:rtl/>
          <w:lang w:bidi="ar-DZ"/>
        </w:rPr>
        <w:t xml:space="preserve">  [مجموعة الوثائق السياسية للعهد النبوي والخلافة الراشدة]</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تضمّن السّندُ خاصيّة من خصائص الرّسالة المحمّديّة. – استخرجها، ثمّ عدِّدْ بقيّة الخصائص ممّا درستَ.</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رتِّبْ في جدول الحقوق المتعلقة بالتركة، وشروط استحقاقها، وموانع الميراث موظِّفًا المصطلحات التّالية فقط: تنفيذُ وصيّة الميّت – وفاة المُورِّث – الشّكّ في أَسبقيّة الوفاة – قضاء الديون – الكفر – العِلمُ بدرجة القرابة.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من طرق انتقال المال أو منافعه إلى الغير، "الميراث والوقف". – فرِّقْ بينهما من حيثُ الحكمُ، والمقدارُ، وجهةُ الاستحقاقِ (المُستحِقّون).</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كل الشعب / بكالوريا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 الشعبة: كل الشعب / بكالوريا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