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bidi/>
        <w:spacing w:before="0" w:after="0" w:line="405" w:lineRule="atLeast"/>
        <w:jc w:val="center"/>
        <w:rPr>
          <w:rFonts w:ascii="Traditional Arabic" w:hAnsi="Traditional Arabic" w:cs="Traditional Arabic" w:eastAsia="Traditional Arabic"/>
          <w:sz w:val="30"/>
          <w:szCs w:val="30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30"/>
          <w:szCs w:val="30"/>
          <w:rtl/>
          <w:lang w:bidi="ar-DZ"/>
        </w:rPr>
        <w:t xml:space="preserve">الجمهورية الجزائرية الديمقراطية الشعبية</w:t>
      </w:r>
    </w:p>
    <w:tbl>
      <w:tblPr>
        <w:bidiVisual/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4406"/>
        <w:gridCol w:w="1700"/>
        <w:gridCol w:w="4100"/>
      </w:tblGrid>
      <w:tr>
        <w:trPr>
          <w:jc w:val="center"/>
        </w:trPr>
        <w:tc>
          <w:tcPr>
            <w:tcW w:w="440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405" w:lineRule="atLeast"/>
              <w:jc w:val="left"/>
              <w:rPr>
                <w:rFonts w:ascii="Traditional Arabic" w:hAnsi="Traditional Arabic" w:cs="Traditional Arabic" w:eastAsia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وزارة التربية الوطنية</w:t>
            </w:r>
          </w:p>
        </w:tc>
        <w:tc>
          <w:tcPr>
            <w:tcW w:w="170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bidi/>
              <w:spacing w:before="0" w:after="0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855849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849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405" w:lineRule="atLeast"/>
              <w:jc w:val="left"/>
              <w:rPr>
                <w:rFonts w:ascii="Traditional Arabic" w:hAnsi="Traditional Arabic" w:cs="Traditional Arabic" w:eastAsia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الديوان الوطني للامتحانات والمسابقات</w:t>
            </w:r>
          </w:p>
        </w:tc>
      </w:tr>
      <w:tr>
        <w:trPr>
          <w:jc w:val="center"/>
        </w:trPr>
        <w:tc>
          <w:tcPr>
            <w:tcW w:w="440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405" w:lineRule="atLeast"/>
              <w:jc w:val="left"/>
              <w:rPr>
                <w:rFonts w:ascii="Traditional Arabic" w:hAnsi="Traditional Arabic" w:cs="Traditional Arabic" w:eastAsia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امتحان بكالوريا التعليم الثانوي</w:t>
            </w:r>
          </w:p>
        </w:tc>
        <w:tc>
          <w:tcPr>
            <w:tcW w:w="1700" w:type="dxa"/>
            <w:vMerge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405" w:lineRule="atLeast"/>
              <w:jc w:val="left"/>
              <w:rPr>
                <w:rFonts w:ascii="Traditional Arabic" w:hAnsi="Traditional Arabic" w:cs="Traditional Arabic" w:eastAsia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دورة: 2022</w:t>
            </w:r>
          </w:p>
        </w:tc>
      </w:tr>
      <w:tr>
        <w:trPr>
          <w:jc w:val="center"/>
        </w:trPr>
        <w:tc>
          <w:tcPr>
            <w:tcW w:w="440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405" w:lineRule="atLeast"/>
              <w:jc w:val="left"/>
              <w:rPr>
                <w:rFonts w:ascii="Traditional Arabic" w:hAnsi="Traditional Arabic" w:cs="Traditional Arabic" w:eastAsia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الشعبة: جميع الشعب</w:t>
            </w:r>
          </w:p>
        </w:tc>
        <w:tc>
          <w:tcPr>
            <w:tcW w:w="170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405" w:lineRule="atLeast"/>
              <w:jc w:val="left"/>
              <w:rPr>
                <w:rFonts w:ascii="Traditional Arabic" w:hAnsi="Traditional Arabic" w:cs="Traditional Arabic" w:eastAsia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</w:r>
          </w:p>
        </w:tc>
      </w:tr>
    </w:tbl>
    <w:tbl>
      <w:tblPr>
        <w:bidiVisual/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405" w:lineRule="atLeast"/>
              <w:jc w:val="left"/>
              <w:rPr>
                <w:rFonts w:ascii="Traditional Arabic" w:hAnsi="Traditional Arabic" w:cs="Traditional Arabic" w:eastAsia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اختبار في مادة: العلوم الإسلامية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405" w:lineRule="atLeast"/>
              <w:jc w:val="left"/>
              <w:rPr>
                <w:rFonts w:ascii="Traditional Arabic" w:hAnsi="Traditional Arabic" w:cs="Traditional Arabic" w:eastAsia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المدة: 02 سا و30 د</w:t>
            </w:r>
          </w:p>
        </w:tc>
      </w:tr>
    </w:tbl>
    <w:p>
      <w:pPr>
        <w:bidi/>
        <w:spacing w:before="120" w:after="60" w:line="378" w:lineRule="atLeast"/>
        <w:jc w:val="center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على المترشح أن يختار أحد الموضوعين الآتيين:</w:t>
      </w:r>
    </w:p>
    <w:p>
      <w:pPr>
        <w:keepNext/>
        <w:bidi/>
        <w:spacing w:before="60" w:after="100" w:line="405" w:lineRule="atLeast"/>
        <w:jc w:val="center"/>
        <w:rPr>
          <w:rFonts w:ascii="Traditional Arabic" w:hAnsi="Traditional Arabic" w:cs="Traditional Arabic" w:eastAsia="Traditional Arabic"/>
          <w:sz w:val="30"/>
          <w:szCs w:val="30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30"/>
          <w:szCs w:val="30"/>
          <w:rtl/>
          <w:lang w:bidi="ar-DZ"/>
        </w:rPr>
        <w:t xml:space="preserve">الموضوع الأول</w:t>
      </w:r>
    </w:p>
    <w:p>
      <w:pPr>
        <w:keepNext/>
        <w:bidi/>
        <w:spacing w:before="100" w:after="6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الجزء الأول: (12 نقطة)</w:t>
      </w:r>
    </w:p>
    <w:p>
      <w:pPr>
        <w:bidi/>
        <w:spacing w:before="0" w:after="40" w:line="432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قال الله تعالى: </w:t>
      </w:r>
      <w:r>
        <w:rPr>
          <w:rFonts w:ascii="Traditional Arabic" w:hAnsi="Traditional Arabic" w:cs="Traditional Arabic" w:eastAsia="Traditional Arabic"/>
          <w:b/>
          <w:bCs/>
          <w:sz w:val="32"/>
          <w:szCs w:val="32"/>
          <w:rtl/>
          <w:lang w:bidi="ar-DZ"/>
        </w:rPr>
        <w:t xml:space="preserve">﴿وَمَا أَرْسَلْنَاكَ إِلَّا رَحْمَةً لِّلْعَالَمِينَ (107) قُلْ إِنَّمَا يُوحَىٰ إِلَيَّ أَنَّمَا إِلَٰهُكُمْ إِلَٰهٌ وَاحِدٌ ۖ فَهَلْ أَنتُم مُّسْلِمُونَ (108) فَإِن تَوَلَّوْا فَقُلْ آذَنتُكُمْ عَلَىٰ سَوَاءٍ ۖ وَإِنْ أَدْرِي أَقَرِيبٌ أَم بَعِيدٌ مَّا تُوعَدُونَ (109) إِنَّهُ يَعْلَمُ الْجَهْرَ مِنَ الْقَوْلِ وَيَعْلَمُ مَا تَكْتُمُونَ (110)﴾</w:t>
      </w:r>
      <w:r>
        <w:rPr>
          <w:rFonts w:ascii="Traditional Arabic" w:hAnsi="Traditional Arabic" w:cs="Traditional Arabic" w:eastAsia="Traditional Arabic"/>
          <w:b/>
          <w:bCs/>
          <w:sz w:val="22"/>
          <w:szCs w:val="22"/>
          <w:rtl/>
          <w:lang w:bidi="ar-DZ"/>
        </w:rPr>
        <w:t xml:space="preserve">  [سورة الأنبياء]</w:t>
      </w:r>
    </w:p>
    <w:p>
      <w:pPr>
        <w:bidi/>
        <w:spacing w:before="0" w:after="60" w:line="297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2"/>
          <w:szCs w:val="22"/>
          <w:rtl/>
          <w:lang w:bidi="ar-DZ"/>
        </w:rPr>
        <w:t xml:space="preserve">الشرح: ﴿وَإِنْ أَدْرِي﴾ = لا أدري</w:t>
      </w:r>
    </w:p>
    <w:p>
      <w:pPr>
        <w:keepNext/>
        <w:bidi/>
        <w:spacing w:before="40" w:after="4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المطلوب:</w:t>
      </w:r>
    </w:p>
    <w:p>
      <w:pPr>
        <w:bidi/>
        <w:spacing w:before="0" w:after="2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1)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في الآيات خطابُ تشريفٍ وتعظيمٍ للنّبيّ ﷺ وحثٌّ على اتّباع الإسلام.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أ- عَرّف الإسلام بمعناه العام، ثمّ بمعناه الخاص.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ب- فِيمَ تشترك الرّسالة الخاتمة مع الرّسالات الأخرى مِن خلال الآيات؟ حدّد ما يدل على ذلك (الشّاهد).</w:t>
      </w:r>
    </w:p>
    <w:p>
      <w:pPr>
        <w:bidi/>
        <w:spacing w:before="0" w:after="2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2)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تضمّنت الآيات وسيلة من وسائل تثبيت العقيدة الإسلامية.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أ- استخرجها، محدّدا الشّاهد عليها من الآيات.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ب- اشرح هذه الوسيلة، مبيّنا أثرها في سلوك الفرد.</w:t>
      </w:r>
    </w:p>
    <w:p>
      <w:pPr>
        <w:bidi/>
        <w:spacing w:before="0" w:after="2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3)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العقل السليم يرفض الأفكار والعقائد الباطلة ويُفنّدها.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أ- استخرج من النّص الشّرعي حدًّا من حدود استعمال العقل، مبرزا الشّاهد.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ب- مِن خلال ما درست بيّن كيف يتعامل المسلم مع الموروثات ومع الأفكار الوافدة والدّخيلة.</w:t>
      </w:r>
    </w:p>
    <w:p>
      <w:pPr>
        <w:bidi/>
        <w:spacing w:before="0" w:after="2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4)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الرّبا فيه من الجشع والاستغلال ما يتنافى مع الرّحمة التي أُرسِل بها النّبيّ ﷺ.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أ- بيّن أثر الرّبا على الصّحة النّفسيّة للمتعامل به.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ب- قارن بين ربا الفضل وربا النّسيئة مبرزا الفروق بينهما.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5)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استخرج من الآيات ثلاث فوائد.</w:t>
      </w:r>
    </w:p>
    <w:p>
      <w:pPr>
        <w:keepNext/>
        <w:bidi/>
        <w:spacing w:before="100" w:after="6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الجزء الثاني: (08 نقاط)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في حوار بين سائقين زَعَمَ الأوّل أنّ قانون المرور قانونٌ وضعيٌّ بشريٌّ يجوز شرعا تجاوزه والتّحايل عليه. ردّ الثّاني: ولكن فيه خير ومصلحة للنّاس.</w:t>
      </w:r>
    </w:p>
    <w:p>
      <w:pPr>
        <w:keepNext/>
        <w:bidi/>
        <w:spacing w:before="40" w:after="4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المطلوب: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1)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أ- كيف نسمّي تلك المصالح التي لم يشهد لها الشّرع بالاعتبار ولا بالإلغاء؟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ب- مثّل لها بمثال آخر، ثمّ أثبت أنّ شروط العمل بها متوافرة في المثال الذي ذكَرْتَ.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2)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دافع عن موقف السّائق الثّاني، مُوظِّفًا ما درستَ.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3)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احكم بعقوبتين شرعيتين على مخالف قانون المرور، بالنّظر إلى ما تسبّب فيه من خسائر بشريّة ومادّية.</w:t>
      </w:r>
    </w:p>
    <w:p>
      <w:pPr>
        <w:bidi/>
        <w:spacing w:before="240" w:after="0" w:line="324" w:lineRule="atLeast"/>
        <w:jc w:val="left"/>
        <w:rPr>
          <w:rFonts w:ascii="Traditional Arabic" w:hAnsi="Traditional Arabic" w:cs="Traditional Arabic" w:eastAsia="Traditional Arabic"/>
          <w:sz w:val="24"/>
          <w:szCs w:val="24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4"/>
          <w:szCs w:val="24"/>
          <w:rtl/>
          <w:lang w:bidi="ar-DZ"/>
        </w:rPr>
        <w:t xml:space="preserve">انتهى الموضوع الأول</w:t>
      </w:r>
    </w:p>
    <w:p>
      <w:pPr>
        <w:keepNext/>
        <w:pageBreakBefore/>
        <w:bidi/>
        <w:spacing w:before="60" w:after="100" w:line="405" w:lineRule="atLeast"/>
        <w:jc w:val="center"/>
        <w:rPr>
          <w:rFonts w:ascii="Traditional Arabic" w:hAnsi="Traditional Arabic" w:cs="Traditional Arabic" w:eastAsia="Traditional Arabic"/>
          <w:sz w:val="30"/>
          <w:szCs w:val="30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30"/>
          <w:szCs w:val="30"/>
          <w:rtl/>
          <w:lang w:bidi="ar-DZ"/>
        </w:rPr>
        <w:t xml:space="preserve">الموضوع الثاني</w:t>
      </w:r>
    </w:p>
    <w:p>
      <w:pPr>
        <w:keepNext/>
        <w:bidi/>
        <w:spacing w:before="100" w:after="6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الجزء الأول: (12 نقطة)</w:t>
      </w:r>
    </w:p>
    <w:p>
      <w:pPr>
        <w:bidi/>
        <w:spacing w:before="0" w:after="40" w:line="432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قال الله تعالى: </w:t>
      </w:r>
      <w:r>
        <w:rPr>
          <w:rFonts w:ascii="Traditional Arabic" w:hAnsi="Traditional Arabic" w:cs="Traditional Arabic" w:eastAsia="Traditional Arabic"/>
          <w:b/>
          <w:bCs/>
          <w:sz w:val="32"/>
          <w:szCs w:val="32"/>
          <w:rtl/>
          <w:lang w:bidi="ar-DZ"/>
        </w:rPr>
        <w:t xml:space="preserve">﴿بَدِيعُ السَّمَاوَاتِ وَالْأَرْضِ ۖ أَنَّىٰ يَكُونُ لَهُ وَلَدٌ وَلَمْ تَكُن لَّهُ صَاحِبَةٌ ۖ وَخَلَقَ كُلَّ شَيْءٍ ۖ وَهُوَ بِكُلِّ شَيْءٍ عَلِيمٌ (101) ذَٰلِكُمُ اللَّهُ رَبُّكُمْ ۖ لَا إِلَٰهَ إِلَّا هُوَ ۖ خَالِقُ كُلِّ شَيْءٍ فَاعْبُدُوهُ ۚ وَهُوَ عَلَىٰ كُلِّ شَيْءٍ وَكِيلٌ (102) لَّا تُدْرِكُهُ الْأَبْصَارُ وَهُوَ يُدْرِكُ الْأَبْصَارَ ۖ وَهُوَ اللَّطِيفُ الْخَبِيرُ (103)﴾</w:t>
      </w:r>
      <w:r>
        <w:rPr>
          <w:rFonts w:ascii="Traditional Arabic" w:hAnsi="Traditional Arabic" w:cs="Traditional Arabic" w:eastAsia="Traditional Arabic"/>
          <w:b/>
          <w:bCs/>
          <w:sz w:val="22"/>
          <w:szCs w:val="22"/>
          <w:rtl/>
          <w:lang w:bidi="ar-DZ"/>
        </w:rPr>
        <w:t xml:space="preserve">  [سورة الأنعام]</w:t>
      </w:r>
    </w:p>
    <w:p>
      <w:pPr>
        <w:bidi/>
        <w:spacing w:before="0" w:after="60" w:line="297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2"/>
          <w:szCs w:val="22"/>
          <w:rtl/>
          <w:lang w:bidi="ar-DZ"/>
        </w:rPr>
        <w:t xml:space="preserve">الشرح: ﴿أَنَّىٰ﴾ = كيف، ﴿صَاحِبَةٌ﴾ = زوجة</w:t>
      </w:r>
    </w:p>
    <w:p>
      <w:pPr>
        <w:keepNext/>
        <w:bidi/>
        <w:spacing w:before="40" w:after="4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المطلوب:</w:t>
      </w:r>
    </w:p>
    <w:p>
      <w:pPr>
        <w:bidi/>
        <w:spacing w:before="0" w:after="2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1)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تحقيقًا لآثار العقيدة الإسلامية على الفرد، وردت في الآيات وسائل عديدة لتثبيتها في نفوس المؤمنين.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أ- أُذكر تلك الآثار ثمّ اربطها بما يوافقها من طرق تحقيق الصّحة النّفسية.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ب- حدّد محلّ الشّاهد لوسيلة "التّذكير بمراقبة الله تعالى لخلقه"، ثمّ استخرج وسيلةً أخرى واشرحها.</w:t>
      </w:r>
    </w:p>
    <w:p>
      <w:pPr>
        <w:bidi/>
        <w:spacing w:before="0" w:after="2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2)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نَفَتِ الآيات نسبةَ الولدِ لله تعالى ردًّا على تحريفٍ عَقَديّ: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أ- مَن هم المقصودون بهذا الرّد؟ وضّح ذلك.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ب- أَبْرِز علاقة الرّسالة الخاتمة بالرّسالات السّابقة.</w:t>
      </w:r>
    </w:p>
    <w:p>
      <w:pPr>
        <w:bidi/>
        <w:spacing w:before="0" w:after="2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3)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في قوله تعالى: ﴿فَاعْبُدُوهُ﴾ دعوةٌ لحفظ الدّين، وهو مقصد من مقاصد الشّريعة الإسلامية.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أ- عرّف مقاصد الشّريعة الإسلامية اصطلاحًا.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ب- رَتِّب أقسامها مع التبرير موظفاً مثالا.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4)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دعا الإسلام إلى إعمال العقل من جهة وقيّدَهُ من جهة أخرى، كيف تفسّر ذلك؟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5)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اِستخرج من الآيات حُكمًا شرعيًّا وفائدةً.</w:t>
      </w:r>
    </w:p>
    <w:p>
      <w:pPr>
        <w:keepNext/>
        <w:bidi/>
        <w:spacing w:before="100" w:after="6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الجزء الثاني: (08 نقاط)</w:t>
      </w:r>
    </w:p>
    <w:p>
      <w:pPr>
        <w:bidi/>
        <w:spacing w:before="0" w:after="6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جاء في خطاب جعفر بن أبي طالب -رضي الله عنه- لملك الحبشة قوله: « ... وَأَمَرَنَا بِصِدْقِ الحَدِيثِ وَأَدَاءِ الأَمَانَةِ وَصِلَةِ الرَّحِمِ وَحُسْنِ الجِوَارِ وَالكَفِّ عَنِ المَحَارِمِ وَالدِّمَاءِ، وَنَهَانَا عَنِ الفَوَاحِشِ وَقَوْلِ الزُّورِ وَأَكْلِ مَالِ اليَتِيمِ وَقَذْفِ المُحْصَنَاتِ... »</w:t>
      </w:r>
      <w:r>
        <w:rPr>
          <w:rFonts w:ascii="Traditional Arabic" w:hAnsi="Traditional Arabic" w:cs="Traditional Arabic" w:eastAsia="Traditional Arabic"/>
          <w:b/>
          <w:bCs/>
          <w:sz w:val="22"/>
          <w:szCs w:val="22"/>
          <w:rtl/>
          <w:lang w:bidi="ar-DZ"/>
        </w:rPr>
        <w:t xml:space="preserve">  [سيرة ابن هشام ص:70]</w:t>
      </w:r>
    </w:p>
    <w:p>
      <w:pPr>
        <w:keepNext/>
        <w:bidi/>
        <w:spacing w:before="40" w:after="4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المطلوب: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1)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اِختر القِيَم الفردية الواردة في السّند، ثمّ اذكر قيمة أخرى تشترك معها، مبيّنا ثلاثةً من آثارها.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2)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أ- اربط بين جرائم (سفك الدّماء، قول الزّور، قذف المحصنات) ونوع العقوبة المناسبة لها.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ب- بيِّن حُكم التّوسط لدى القاضي لإسقاط عقوبة "قذف المحصنات"، مع الدليل.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3)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يَحْرُمُ إحراق مال اليتيم قياسا على حرمة أكله، طبّق أركان القياس على هذا المثال.</w:t>
      </w:r>
    </w:p>
    <w:p>
      <w:pPr>
        <w:bidi/>
        <w:spacing w:before="240" w:after="0" w:line="324" w:lineRule="atLeast"/>
        <w:jc w:val="left"/>
        <w:rPr>
          <w:rFonts w:ascii="Traditional Arabic" w:hAnsi="Traditional Arabic" w:cs="Traditional Arabic" w:eastAsia="Traditional Arabic"/>
          <w:sz w:val="24"/>
          <w:szCs w:val="24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4"/>
          <w:szCs w:val="24"/>
          <w:rtl/>
          <w:lang w:bidi="ar-DZ"/>
        </w:rPr>
        <w:t xml:space="preserve">انتهى الموضوع الثاني</w:t>
      </w:r>
    </w:p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اختبار في مادة: العلوم الإسلامية. الشعبة: جميع الشعب. بكالوريا 2022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اختبار في مادة: العلوم الإسلامية. الشعبة: جميع الشعب. بكالوريا 2022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Traditional Arabic" w:hAnsi="Traditional Arabic" w:cs="Traditional Arabic" w:eastAsia="Traditional Arabic"/>
        <w:sz w:val="8"/>
        <w:szCs w:val="8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