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اسمه ونسبه: عبد الرّحمن بن صخر الدّوسي.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مناقبه: أسلم في السنة السابعة للهجرة.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شدّة ملازمته للرّسول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دُعاء الرّسول ﷺ له بالحفظ.</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أحفظ الصحابة للحديث.</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رُوي له من الحديث 5374 حديثا.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كان واليا على البحرين.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توفي سنة 57 أو 58 للهجرة ودفن بالبقيع.</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منقبتين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أ- </w:t>
            </w:r>
            <w:r>
              <w:rPr>
                <w:rFonts w:ascii="Traditional Arabic" w:hAnsi="Traditional Arabic" w:cs="Traditional Arabic" w:eastAsia="Traditional Arabic"/>
                <w:sz w:val="28"/>
                <w:szCs w:val="28"/>
                <w:rtl/>
                <w:lang w:bidi="ar-DZ"/>
              </w:rPr>
              <w:t xml:space="preserve">نوع الصّحة التي تتأثّر بتلك الأخلاق السّيّئة هي: الصّحة النّفسيّة.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مفهومها: الحالة التي يكون فيها الإنسان مطمئنا وطبيعيا في سلوكه، ولا يعاني من اضطراب أو قلق.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استنتاج طريق من طرق حفظها من الحديث: التّزكية والأخلاق.</w:t>
            </w:r>
          </w:p>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735"/>
              <w:gridCol w:w="2735"/>
              <w:gridCol w:w="2736"/>
            </w:tblGrid>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الأثر: الأخوّة والتّضامن</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الشّاهد: «وكونوا عباد الله إخوانا»، «المسلم أخو المسلم لا يظلمه، ولا يخذله، لا يحقره»</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إذا رسخت العقيدة في قلوب أفراد المجتمع صاروا إخوة فيدفعهم ذلك للتّضامن.</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أو: الأثر: تحقّق الأمن</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الشّاهد: «لا يظلمه ولا يخذله ولا يحقره»، «كلّ المسلم على المسلم حرام دمه وماله وعرضه»</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العقيدة الصّحيحة تثمر الأمن بكلّ أنواعه...</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تصحح الإجابة الأولى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النّفس (دمه)</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العقوبات التي شُرعت لحفظه: القصاص – الدّية.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المال (ماله)</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العقوبات التي شُرعت لحفظه: الحدّ – التّعزير.</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المقاصد التي تشترك مع حفظ النسل هي المقاصد الضرورية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استنباط العلّة الجامعة: الانشغال عن الصلاة.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شروط المقيس (الفرع): 1. ألّا يكون منصوصا عليه بالقرآن أو السّنّة أو انعقد عليه الإجماع.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أن يشترك مع الأصل في العلّة.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يحقق القياس مرونة الشريعة من خلال استنباط الأحكام للمسائل الجديدة قياسا على المسائل المنصوص على حكمها، فهو يعطي حلولا للمشاكل والمستجدات في حياة الناس، مما يجعل الشّريعة صالحة لكلّ زمان ومكان.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كل إجابة صحيحة.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حكمان: تحريم ظلم المسلم لأخيه.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الأخوّة بين المسلمين.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البيع على البيع.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فائدتان: نبذ كلّ ما يُفسد الأخوّة.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التّأكيد على حماية الدّماء والأموال والأعراض.</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أنّ القلب محلّ التّقوى.</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حكم أو فائدة صحيحة، على أن تُصحّح الإجابات الأولى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السّبب: النّسب (قرابة الدم).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محلّ الشّاهد: ﴿وَإِن كَانُوا إِخْوَةً رِّجَالًا وَنِسَاءً﴾.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السبب: كل صلة سببها الولادة وتشمل فروع الميت وأصوله وفروع أصوله.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الزوج: يرث</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طريق ميراثه: بالفرض.</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البنت: ترث</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طريق ميراثها: بالفرض/ بالتعصيب.</w:t>
                  </w:r>
                </w:p>
              </w:tc>
            </w:tr>
          </w:tbl>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ابن البنت: لا يرث.</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تصنيف قيمة العدل: قيمة سياسية.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القيمة التي يحقّقها الالتزام بعلم الميراث على مستوى الفرد: الأمانة.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شرحها: المسلم الأمين هو من يحفظ حقوق الورثة ويلتزم بأدائها وفق قواعد علم الميراث.</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لا تقبل إلا الأمانة كقيمة فردية / يقبل أي شرح صحيح لها.</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تفنيد شبهة المستشرقين: الإسلام لم يظلم المرأة في الميراث؛ لأن نظام الإرث لا يحكمه معيار الذّكورة والأنوثة، وإنّما تحكمه معايير أخرى منها: العبء المالي: فالوارثون متفاوتون في التزاماتهم المالية تجاه من كلّفوا برعايتهم والقيام بشؤونهم، ولذلك يكون نصيبهم في الميراث أكبر.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إبراز دور العقل: تنقية المنظومة الفكرية من الفكر الدّخيل الوافد كالاستشراق والإلحاد.</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تفنيد شبهة المستشرقين مبني على العبء المالي فقط، ويقبل كل تعبير صحيح على ذلك.</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اسمها ونسبها: عائشة أمّ المؤمنين بنت أبي بكر الصّديق رضي الله عنهما.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مناقبها: إحدى أزواج النّبي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أحب نساء النبي ﷺ إليه.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أعلم النّساء وأفقههنّ.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أكثر النّساء رواية للحديث.</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روي لها من الحديث 2210.</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توفّيت سنة 57 هـ. ودفنت بالبقيع.</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بذكر منقبتين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أ- </w:t>
            </w:r>
            <w:r>
              <w:rPr>
                <w:rFonts w:ascii="Traditional Arabic" w:hAnsi="Traditional Arabic" w:cs="Traditional Arabic" w:eastAsia="Traditional Arabic"/>
                <w:sz w:val="28"/>
                <w:szCs w:val="28"/>
                <w:rtl/>
                <w:lang w:bidi="ar-DZ"/>
              </w:rPr>
              <w:t xml:space="preserve">تسمية هذه الخاصية: العدالة في العقوبة (شخصية العقوبة).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تحديد ما يدل عليها من الحديث: رجل زنى بعد إحصان فإنه يرجم.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رجل خرج محاربا لله ورسوله فإنه يقتل أو يصلب أو ينفى من الأرض.</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يَقتل نفسا فيقتل بها.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تقبل في تسمية الخاصية شرعية العقوبة، ويستدل عليها بنص الحديث أو بجزء من الحديث يدل على حد الزنا أو حد الحرابة أو القصاص.</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حفظ مصالح النّاس وصيانة نظام المجتمع.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تأديب المجرمين وردعهم.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تطييب خاطر المجني عليه أو وليّه.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735"/>
              <w:gridCol w:w="2735"/>
              <w:gridCol w:w="2736"/>
            </w:tblGrid>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الزنا</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عقوبتها: الرجم حتّى الموت</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نوع العقوبة: الحدود.</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الحرابة</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عقوبتها: القتل أو الصّلب أو النفي</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نوع العقوبة: الحدود.</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القتل العمد</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عقوبته: القتل</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نوع العقوبة: القصاص.</w:t>
                  </w:r>
                </w:p>
              </w:tc>
            </w:tr>
          </w:tbl>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تسمية مرتبة تغيير المنكر الواردة في الحديث: التغيير باليد.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الاستدلال بنص شرعي: عن أبي سعيد الخدري رضي الله عنه قال سمعت رسول الله ﷺ يقول: «من رأى منكم منكرا فليغيره بيده ...».</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تحديد نوع هذه الصّحة: الصّحة الجسميّة.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في تحديد نوع الصحة: الصّحة النفسية.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كيفيّة المحافظة عليها من خلال الحديث: بالوقاية من الأمراض وذلك بتحريم جريمة الزّنا.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كيفية المحافظة عليها (في حال الصحة النفسية): بالتزكية والأخلاق.</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الحكم: تحريم الزِّنا – تحريم الحرابة – تحريم قتل النّفس بغير حق.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الفائدتان: بيان عقوبة الزّاني المحصن.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ضرورة تطبيق العقوبة على من وجبت عليه.</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يقبل كلّ حكم أو فائدة صحيحة، على أن تُصحّح الإجابات الأولى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المصدر: القياس.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التعريف من السّند الأول: «فإذا ساوت الواقعة التي لا نص فيها الواقعة المنصوص عليها في علّة الحكم قضت الحكمة والعدالة أن تساويها في الحكم».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المقصد العام من التّشريع الإسلامي: تحقيق مصالح العباد.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العبارة الدالة عليه من السّند الأول: «إن الله سبحانه ما شرع حكما إلا لمصلحة، وإن مصالح العباد هي الغاية المقصودة من تشريع الأحكام».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المصدر الآخر من السّند الثاني: المصلحة المرسلة.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وجه الاتّفاق بين المصدرين (القياس والمصلحة المرسلة) من خلال السّندين هو: مسايرة تطورات الناس ومصالحهم.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الاكتفاء بذكر تحقيق مصالح العباد كوجه للاتفاق بين المصدرين دون التطرق إلى مسايرة تطورات النّاس يعتبر إجابة ناقصة تستحق نصف العلامة.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خالدة غير مرهونة بزمن معيّن.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الشرح: خلود الشريعة الإسلامية يرجع إلى كونها ثابتة في الأصول والأهداف والغايات والأخلاق والقيم وإلى مرونتها في الفروع والجزئيات والوسائل والأساليب، ولذلك فهي تواكب كل ما يتجدد من النوازل في حياة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أو: عامة تخاطب جميع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الشرح: فهي رسالة موجهة إلى الناس كافة لا تختص بقوم دون آخرين.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6"/>
                <w:szCs w:val="26"/>
                <w:u w:val="single"/>
                <w:rtl/>
                <w:lang w:bidi="ar-DZ"/>
              </w:rPr>
              <w:t xml:space="preserve">ملاحظة: </w:t>
            </w:r>
            <w:r>
              <w:rPr>
                <w:rFonts w:ascii="Traditional Arabic" w:hAnsi="Traditional Arabic" w:cs="Traditional Arabic" w:eastAsia="Traditional Arabic"/>
                <w:sz w:val="26"/>
                <w:szCs w:val="26"/>
                <w:rtl/>
                <w:lang w:bidi="ar-DZ"/>
              </w:rPr>
              <w:t xml:space="preserve">يكتفى بإجابة واحدة ويقبل أي شرح صحيح.</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مادة : العلوم الإسلامية   الشعبة: جميع الشعب   بكالوريا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مادة : العلوم الإسلامية   الشعبة: جميع الشعب   بكالوريا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مادة : العلوم الإسلامية   الشعبة: جميع الشعب   بكالوريا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