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A4E5A" w14:textId="05F1DF7B" w:rsidR="00B55932" w:rsidRPr="00E50F95" w:rsidRDefault="007C1E1D" w:rsidP="007C1E1D">
      <w:pPr>
        <w:jc w:val="both"/>
        <w:rPr>
          <w:rFonts w:asciiTheme="majorHAnsi" w:hAnsiTheme="majorHAnsi" w:cstheme="majorHAnsi"/>
          <w:b/>
        </w:rPr>
      </w:pPr>
      <w:r w:rsidRPr="00E50F95">
        <w:rPr>
          <w:rFonts w:asciiTheme="majorHAnsi" w:hAnsiTheme="majorHAnsi" w:cstheme="majorHAnsi"/>
          <w:b/>
        </w:rPr>
        <w:t xml:space="preserve">Título de </w:t>
      </w:r>
      <w:proofErr w:type="spellStart"/>
      <w:r w:rsidRPr="00E50F95">
        <w:rPr>
          <w:rFonts w:asciiTheme="majorHAnsi" w:hAnsiTheme="majorHAnsi" w:cstheme="majorHAnsi"/>
          <w:b/>
        </w:rPr>
        <w:t>dashboard</w:t>
      </w:r>
      <w:proofErr w:type="spellEnd"/>
      <w:r w:rsidRPr="00E50F95">
        <w:rPr>
          <w:rFonts w:asciiTheme="majorHAnsi" w:hAnsiTheme="majorHAnsi" w:cstheme="majorHAnsi"/>
          <w:b/>
        </w:rPr>
        <w:t xml:space="preserve">: </w:t>
      </w:r>
      <w:r w:rsidR="000B7F93">
        <w:rPr>
          <w:rFonts w:asciiTheme="majorHAnsi" w:hAnsiTheme="majorHAnsi" w:cstheme="majorHAnsi"/>
          <w:b/>
        </w:rPr>
        <w:t>“</w:t>
      </w:r>
      <w:r w:rsidR="00B55932">
        <w:rPr>
          <w:rFonts w:asciiTheme="majorHAnsi" w:hAnsiTheme="majorHAnsi" w:cstheme="majorHAnsi"/>
          <w:b/>
        </w:rPr>
        <w:t>En que anda Mi Ciudad – Cartagena”</w:t>
      </w:r>
    </w:p>
    <w:p w14:paraId="4E7B5154" w14:textId="0ED33A00" w:rsidR="004A2BBF" w:rsidRDefault="00134E7D" w:rsidP="00C36E9C">
      <w:pPr>
        <w:jc w:val="both"/>
        <w:rPr>
          <w:rFonts w:asciiTheme="majorHAnsi" w:hAnsiTheme="majorHAnsi" w:cstheme="majorHAnsi"/>
        </w:rPr>
      </w:pPr>
      <w:r w:rsidRPr="00134E7D">
        <w:rPr>
          <w:rFonts w:asciiTheme="majorHAnsi" w:hAnsiTheme="majorHAnsi" w:cstheme="majorHAnsi"/>
        </w:rPr>
        <w:t xml:space="preserve">Los 5 temas prioritarios en Cartagena </w:t>
      </w:r>
      <w:r w:rsidR="005E06B6">
        <w:rPr>
          <w:rFonts w:asciiTheme="majorHAnsi" w:hAnsiTheme="majorHAnsi" w:cstheme="majorHAnsi"/>
        </w:rPr>
        <w:t>durante los últimos 5 años</w:t>
      </w:r>
      <w:r w:rsidRPr="00134E7D">
        <w:rPr>
          <w:rFonts w:asciiTheme="majorHAnsi" w:hAnsiTheme="majorHAnsi" w:cstheme="majorHAnsi"/>
        </w:rPr>
        <w:t xml:space="preserve"> fueron la educación, la seguridad ciudadana, el espacio público, la pobreza y la generación de basuras. </w:t>
      </w:r>
    </w:p>
    <w:p w14:paraId="0F5E9D61" w14:textId="226AF717" w:rsidR="00202E84" w:rsidRDefault="005E06B6" w:rsidP="00C36E9C">
      <w:pPr>
        <w:jc w:val="both"/>
        <w:rPr>
          <w:rFonts w:asciiTheme="majorHAnsi" w:hAnsiTheme="majorHAnsi" w:cstheme="majorHAnsi"/>
          <w:b/>
          <w:bCs/>
        </w:rPr>
      </w:pPr>
      <w:r>
        <w:rPr>
          <w:rFonts w:asciiTheme="majorHAnsi" w:hAnsiTheme="majorHAnsi" w:cstheme="majorHAnsi"/>
          <w:b/>
          <w:bCs/>
        </w:rPr>
        <w:t>UN RETO POR LA EDUCACIÓN</w:t>
      </w:r>
      <w:r w:rsidR="00D34F88">
        <w:rPr>
          <w:rFonts w:asciiTheme="majorHAnsi" w:hAnsiTheme="majorHAnsi" w:cstheme="majorHAnsi"/>
          <w:b/>
          <w:bCs/>
        </w:rPr>
        <w:t xml:space="preserve"> DE CARTAGENA</w:t>
      </w:r>
    </w:p>
    <w:p w14:paraId="045CE10F" w14:textId="77777777" w:rsidR="0082757D" w:rsidRDefault="005E06B6" w:rsidP="005E06B6">
      <w:pPr>
        <w:jc w:val="both"/>
        <w:rPr>
          <w:rFonts w:asciiTheme="majorHAnsi" w:hAnsiTheme="majorHAnsi" w:cstheme="majorHAnsi"/>
        </w:rPr>
      </w:pPr>
      <w:r w:rsidRPr="00134E7D">
        <w:rPr>
          <w:rFonts w:asciiTheme="majorHAnsi" w:hAnsiTheme="majorHAnsi" w:cstheme="majorHAnsi"/>
        </w:rPr>
        <w:t xml:space="preserve">Sobre el tema de la educación, desde hace más de una década Cartagena </w:t>
      </w:r>
      <w:r w:rsidR="000B7F93">
        <w:rPr>
          <w:rFonts w:asciiTheme="majorHAnsi" w:hAnsiTheme="majorHAnsi" w:cstheme="majorHAnsi"/>
        </w:rPr>
        <w:t>ha mantenido</w:t>
      </w:r>
      <w:r w:rsidRPr="00134E7D">
        <w:rPr>
          <w:rFonts w:asciiTheme="majorHAnsi" w:hAnsiTheme="majorHAnsi" w:cstheme="majorHAnsi"/>
        </w:rPr>
        <w:t xml:space="preserve"> coberturas por encima del 90% aunque al revisar los datos por niveles, en preescolar y media (10º y 11º) no superan el 70%. </w:t>
      </w:r>
      <w:r w:rsidR="0082757D">
        <w:rPr>
          <w:rFonts w:asciiTheme="majorHAnsi" w:hAnsiTheme="majorHAnsi" w:cstheme="majorHAnsi"/>
        </w:rPr>
        <w:t>A</w:t>
      </w:r>
      <w:r w:rsidR="0082757D" w:rsidRPr="00C36E9C">
        <w:rPr>
          <w:rFonts w:asciiTheme="majorHAnsi" w:hAnsiTheme="majorHAnsi" w:cstheme="majorHAnsi"/>
        </w:rPr>
        <w:t xml:space="preserve"> pesar de los esfuerzos por asegurar el acceso</w:t>
      </w:r>
      <w:r w:rsidR="0082757D">
        <w:rPr>
          <w:rFonts w:asciiTheme="majorHAnsi" w:hAnsiTheme="majorHAnsi" w:cstheme="majorHAnsi"/>
        </w:rPr>
        <w:t xml:space="preserve"> al a educación</w:t>
      </w:r>
      <w:r w:rsidR="0082757D" w:rsidRPr="00C36E9C">
        <w:rPr>
          <w:rFonts w:asciiTheme="majorHAnsi" w:hAnsiTheme="majorHAnsi" w:cstheme="majorHAnsi"/>
        </w:rPr>
        <w:t xml:space="preserve">, tan solo el 49,9% de los jóvenes de 15 y 16 años se encontraban cursando décimo o undécimo. </w:t>
      </w:r>
    </w:p>
    <w:p w14:paraId="1D92C3AE" w14:textId="2E67B089" w:rsidR="005E06B6" w:rsidRDefault="000B7F93" w:rsidP="00C36E9C">
      <w:pPr>
        <w:jc w:val="both"/>
        <w:rPr>
          <w:rFonts w:asciiTheme="majorHAnsi" w:hAnsiTheme="majorHAnsi" w:cstheme="majorHAnsi"/>
        </w:rPr>
      </w:pPr>
      <w:r>
        <w:rPr>
          <w:rFonts w:asciiTheme="majorHAnsi" w:hAnsiTheme="majorHAnsi" w:cstheme="majorHAnsi"/>
        </w:rPr>
        <w:t>Frente a la</w:t>
      </w:r>
      <w:r w:rsidR="005E06B6" w:rsidRPr="00134E7D">
        <w:rPr>
          <w:rFonts w:asciiTheme="majorHAnsi" w:hAnsiTheme="majorHAnsi" w:cstheme="majorHAnsi"/>
        </w:rPr>
        <w:t xml:space="preserve"> calidad educativa </w:t>
      </w:r>
      <w:r>
        <w:rPr>
          <w:rFonts w:asciiTheme="majorHAnsi" w:hAnsiTheme="majorHAnsi" w:cstheme="majorHAnsi"/>
        </w:rPr>
        <w:t xml:space="preserve">el reto es mayor </w:t>
      </w:r>
      <w:r w:rsidR="005E06B6" w:rsidRPr="00134E7D">
        <w:rPr>
          <w:rFonts w:asciiTheme="majorHAnsi" w:hAnsiTheme="majorHAnsi" w:cstheme="majorHAnsi"/>
        </w:rPr>
        <w:t>porque solo el 26% de los colegios están en categoría A y A+, las más altas de la escala, y de éstas, solo 9 son públicos.</w:t>
      </w:r>
      <w:r w:rsidR="0082757D" w:rsidRPr="0082757D">
        <w:rPr>
          <w:rFonts w:asciiTheme="majorHAnsi" w:hAnsiTheme="majorHAnsi" w:cstheme="majorHAnsi"/>
        </w:rPr>
        <w:t xml:space="preserve"> </w:t>
      </w:r>
      <w:r w:rsidR="0082757D">
        <w:rPr>
          <w:rFonts w:asciiTheme="majorHAnsi" w:hAnsiTheme="majorHAnsi" w:cstheme="majorHAnsi"/>
        </w:rPr>
        <w:t>La</w:t>
      </w:r>
      <w:r w:rsidR="0082757D" w:rsidRPr="00C36E9C">
        <w:rPr>
          <w:rFonts w:asciiTheme="majorHAnsi" w:hAnsiTheme="majorHAnsi" w:cstheme="majorHAnsi"/>
        </w:rPr>
        <w:t xml:space="preserve"> mayoría de los niños y jóvenes no alcanzan los niveles esperados en las pruebas Saber. En matemáticas en el grado noveno, tan solo el 35% alcanzó un nivel satisfactorio.</w:t>
      </w:r>
    </w:p>
    <w:tbl>
      <w:tblPr>
        <w:tblStyle w:val="Tablaconcuadrcula"/>
        <w:tblpPr w:leftFromText="141" w:rightFromText="141" w:vertAnchor="text" w:horzAnchor="margin" w:tblpY="24"/>
        <w:tblW w:w="8852" w:type="dxa"/>
        <w:tblLook w:val="04A0" w:firstRow="1" w:lastRow="0" w:firstColumn="1" w:lastColumn="0" w:noHBand="0" w:noVBand="1"/>
      </w:tblPr>
      <w:tblGrid>
        <w:gridCol w:w="3858"/>
        <w:gridCol w:w="4994"/>
      </w:tblGrid>
      <w:tr w:rsidR="00D422D4" w:rsidRPr="004A2BBF" w14:paraId="5A7292D7" w14:textId="77777777" w:rsidTr="00D422D4">
        <w:trPr>
          <w:trHeight w:val="200"/>
        </w:trPr>
        <w:tc>
          <w:tcPr>
            <w:tcW w:w="3858" w:type="dxa"/>
            <w:noWrap/>
            <w:hideMark/>
          </w:tcPr>
          <w:p w14:paraId="4C22ADBC" w14:textId="2E547B58" w:rsidR="00D422D4" w:rsidRPr="004A2BBF" w:rsidRDefault="00D422D4" w:rsidP="00691130">
            <w:pPr>
              <w:jc w:val="both"/>
              <w:rPr>
                <w:rFonts w:asciiTheme="majorHAnsi" w:hAnsiTheme="majorHAnsi" w:cstheme="majorHAnsi"/>
                <w:b/>
                <w:bCs/>
              </w:rPr>
            </w:pPr>
          </w:p>
        </w:tc>
        <w:tc>
          <w:tcPr>
            <w:tcW w:w="4994" w:type="dxa"/>
            <w:hideMark/>
          </w:tcPr>
          <w:p w14:paraId="696FE5A7" w14:textId="1DFCEC6B" w:rsidR="00D422D4" w:rsidRPr="004A2BBF" w:rsidRDefault="00D422D4" w:rsidP="004A2BBF">
            <w:pPr>
              <w:jc w:val="both"/>
              <w:rPr>
                <w:rFonts w:asciiTheme="majorHAnsi" w:hAnsiTheme="majorHAnsi" w:cstheme="majorHAnsi"/>
                <w:b/>
                <w:bCs/>
              </w:rPr>
            </w:pPr>
            <w:r>
              <w:rPr>
                <w:rFonts w:asciiTheme="majorHAnsi" w:hAnsiTheme="majorHAnsi" w:cstheme="majorHAnsi"/>
                <w:b/>
                <w:bCs/>
              </w:rPr>
              <w:t>Variables</w:t>
            </w:r>
            <w:r w:rsidRPr="004A2BBF">
              <w:rPr>
                <w:rFonts w:asciiTheme="majorHAnsi" w:hAnsiTheme="majorHAnsi" w:cstheme="majorHAnsi"/>
                <w:b/>
                <w:bCs/>
              </w:rPr>
              <w:t xml:space="preserve"> </w:t>
            </w:r>
          </w:p>
        </w:tc>
      </w:tr>
      <w:tr w:rsidR="00D422D4" w:rsidRPr="004A2BBF" w14:paraId="024E4FD9" w14:textId="77777777" w:rsidTr="00D422D4">
        <w:trPr>
          <w:trHeight w:val="200"/>
        </w:trPr>
        <w:tc>
          <w:tcPr>
            <w:tcW w:w="3858" w:type="dxa"/>
            <w:noWrap/>
            <w:hideMark/>
          </w:tcPr>
          <w:p w14:paraId="787830EC" w14:textId="77777777" w:rsidR="00D422D4" w:rsidRPr="004A2BBF" w:rsidRDefault="00D422D4" w:rsidP="004A2BBF">
            <w:pPr>
              <w:jc w:val="both"/>
              <w:rPr>
                <w:rFonts w:asciiTheme="majorHAnsi" w:hAnsiTheme="majorHAnsi" w:cstheme="majorHAnsi"/>
              </w:rPr>
            </w:pPr>
            <w:r w:rsidRPr="004A2BBF">
              <w:rPr>
                <w:rFonts w:asciiTheme="majorHAnsi" w:hAnsiTheme="majorHAnsi" w:cstheme="majorHAnsi"/>
              </w:rPr>
              <w:t>Indicador 1</w:t>
            </w:r>
          </w:p>
        </w:tc>
        <w:tc>
          <w:tcPr>
            <w:tcW w:w="4994" w:type="dxa"/>
            <w:hideMark/>
          </w:tcPr>
          <w:p w14:paraId="35F9C060" w14:textId="77777777" w:rsidR="00D422D4" w:rsidRPr="004A2BBF" w:rsidRDefault="00D422D4" w:rsidP="004A2BBF">
            <w:pPr>
              <w:jc w:val="both"/>
              <w:rPr>
                <w:rFonts w:asciiTheme="majorHAnsi" w:hAnsiTheme="majorHAnsi" w:cstheme="majorHAnsi"/>
              </w:rPr>
            </w:pPr>
            <w:r w:rsidRPr="004A2BBF">
              <w:rPr>
                <w:rFonts w:asciiTheme="majorHAnsi" w:hAnsiTheme="majorHAnsi" w:cstheme="majorHAnsi"/>
              </w:rPr>
              <w:t xml:space="preserve">Tasa de cobertura educativa neta con </w:t>
            </w:r>
            <w:proofErr w:type="spellStart"/>
            <w:r w:rsidRPr="004A2BBF">
              <w:rPr>
                <w:rFonts w:asciiTheme="majorHAnsi" w:hAnsiTheme="majorHAnsi" w:cstheme="majorHAnsi"/>
              </w:rPr>
              <w:t>extraedad</w:t>
            </w:r>
            <w:proofErr w:type="spellEnd"/>
          </w:p>
        </w:tc>
      </w:tr>
      <w:tr w:rsidR="00D422D4" w:rsidRPr="004A2BBF" w14:paraId="34CE46D6" w14:textId="77777777" w:rsidTr="00D422D4">
        <w:trPr>
          <w:trHeight w:val="530"/>
        </w:trPr>
        <w:tc>
          <w:tcPr>
            <w:tcW w:w="3858" w:type="dxa"/>
            <w:noWrap/>
            <w:hideMark/>
          </w:tcPr>
          <w:p w14:paraId="1159E05F" w14:textId="77777777" w:rsidR="00D422D4" w:rsidRPr="004A2BBF" w:rsidRDefault="00D422D4" w:rsidP="004A2BBF">
            <w:pPr>
              <w:jc w:val="both"/>
              <w:rPr>
                <w:rFonts w:asciiTheme="majorHAnsi" w:hAnsiTheme="majorHAnsi" w:cstheme="majorHAnsi"/>
              </w:rPr>
            </w:pPr>
            <w:r w:rsidRPr="004A2BBF">
              <w:rPr>
                <w:rFonts w:asciiTheme="majorHAnsi" w:hAnsiTheme="majorHAnsi" w:cstheme="majorHAnsi"/>
              </w:rPr>
              <w:t>Indicador 2*</w:t>
            </w:r>
          </w:p>
        </w:tc>
        <w:tc>
          <w:tcPr>
            <w:tcW w:w="4994" w:type="dxa"/>
            <w:hideMark/>
          </w:tcPr>
          <w:p w14:paraId="40015A41" w14:textId="32BC7E7F" w:rsidR="00D422D4" w:rsidRPr="004A2BBF" w:rsidRDefault="00D422D4" w:rsidP="004A2BBF">
            <w:pPr>
              <w:jc w:val="both"/>
              <w:rPr>
                <w:rFonts w:asciiTheme="majorHAnsi" w:hAnsiTheme="majorHAnsi" w:cstheme="majorHAnsi"/>
              </w:rPr>
            </w:pPr>
            <w:r w:rsidRPr="004A2BBF">
              <w:rPr>
                <w:rFonts w:asciiTheme="majorHAnsi" w:hAnsiTheme="majorHAnsi" w:cstheme="majorHAnsi"/>
              </w:rPr>
              <w:t>Porcentaje de Instituciones E</w:t>
            </w:r>
            <w:r>
              <w:rPr>
                <w:rFonts w:asciiTheme="majorHAnsi" w:hAnsiTheme="majorHAnsi" w:cstheme="majorHAnsi"/>
              </w:rPr>
              <w:t>d</w:t>
            </w:r>
            <w:r w:rsidRPr="004A2BBF">
              <w:rPr>
                <w:rFonts w:asciiTheme="majorHAnsi" w:hAnsiTheme="majorHAnsi" w:cstheme="majorHAnsi"/>
              </w:rPr>
              <w:t>ucativas Oficiales en categoría A y A+ en Pruebas SABER 11º</w:t>
            </w:r>
          </w:p>
        </w:tc>
      </w:tr>
    </w:tbl>
    <w:p w14:paraId="299B19C1" w14:textId="77777777" w:rsidR="005E06B6" w:rsidRPr="00AA67DA" w:rsidRDefault="005E06B6" w:rsidP="005E06B6">
      <w:pPr>
        <w:jc w:val="both"/>
        <w:rPr>
          <w:rFonts w:asciiTheme="majorHAnsi" w:hAnsiTheme="majorHAnsi" w:cstheme="majorHAnsi"/>
          <w:color w:val="4472C4" w:themeColor="accent1"/>
        </w:rPr>
      </w:pPr>
      <w:r w:rsidRPr="00AA67DA">
        <w:rPr>
          <w:rFonts w:asciiTheme="majorHAnsi" w:hAnsiTheme="majorHAnsi" w:cstheme="majorHAnsi"/>
          <w:color w:val="4472C4" w:themeColor="accent1"/>
        </w:rPr>
        <w:t>Tipo de gráfica: Cruce de variables que refleje la evolución por años y escaleras comparativas por año.</w:t>
      </w:r>
    </w:p>
    <w:p w14:paraId="5C582E81" w14:textId="4CBD187C" w:rsidR="0082757D" w:rsidRPr="004A2BBF" w:rsidRDefault="00D34F88" w:rsidP="0082757D">
      <w:pPr>
        <w:jc w:val="both"/>
        <w:rPr>
          <w:rFonts w:asciiTheme="majorHAnsi" w:hAnsiTheme="majorHAnsi" w:cstheme="majorHAnsi"/>
          <w:b/>
          <w:bCs/>
        </w:rPr>
      </w:pPr>
      <w:bookmarkStart w:id="0" w:name="_Hlk509569830"/>
      <w:r>
        <w:rPr>
          <w:rFonts w:asciiTheme="majorHAnsi" w:hAnsiTheme="majorHAnsi" w:cstheme="majorHAnsi"/>
          <w:b/>
          <w:bCs/>
        </w:rPr>
        <w:t>EN SEGURIDAD CIUDADANA, NO HAY AVANCES SIGNIFICATIVOS</w:t>
      </w:r>
      <w:r w:rsidR="0082757D" w:rsidRPr="004A2BBF">
        <w:rPr>
          <w:rFonts w:asciiTheme="majorHAnsi" w:hAnsiTheme="majorHAnsi" w:cstheme="majorHAnsi"/>
          <w:b/>
          <w:bCs/>
        </w:rPr>
        <w:t xml:space="preserve"> </w:t>
      </w:r>
      <w:r>
        <w:rPr>
          <w:rFonts w:asciiTheme="majorHAnsi" w:hAnsiTheme="majorHAnsi" w:cstheme="majorHAnsi"/>
          <w:b/>
          <w:bCs/>
        </w:rPr>
        <w:t xml:space="preserve"> </w:t>
      </w:r>
    </w:p>
    <w:bookmarkEnd w:id="0"/>
    <w:p w14:paraId="269FFF9E" w14:textId="5AEC5115" w:rsidR="00BB6322" w:rsidRPr="00C36E9C" w:rsidRDefault="004A2BBF" w:rsidP="00C36E9C">
      <w:pPr>
        <w:jc w:val="both"/>
        <w:rPr>
          <w:rFonts w:asciiTheme="majorHAnsi" w:hAnsiTheme="majorHAnsi" w:cstheme="majorHAnsi"/>
        </w:rPr>
      </w:pPr>
      <w:r w:rsidRPr="004A2BBF">
        <w:rPr>
          <w:rFonts w:asciiTheme="majorHAnsi" w:hAnsiTheme="majorHAnsi" w:cstheme="majorHAnsi"/>
        </w:rPr>
        <w:t>Por su parte, en materia de seguridad, el tema de los homicidios se presentó una reducción en 2016 del 5,5% con respecto al 2015. A pesar de esta mejora, la ciudad continúa estando entre las 5 más violentas del país siendo el barrio Olaya Herrera en el que más ocurren los homicidios. Esto coincide con la sensación de inseguridad. El 36% de los cartageneros se sienten inseguros en sus barrios, aumentando en 4 puntos con relación al 2016. La principal razón de esta percepción de inseguridad son los atracos callejeros.</w:t>
      </w:r>
    </w:p>
    <w:tbl>
      <w:tblPr>
        <w:tblStyle w:val="Tablaconcuadrcula"/>
        <w:tblW w:w="8852" w:type="dxa"/>
        <w:tblLook w:val="04A0" w:firstRow="1" w:lastRow="0" w:firstColumn="1" w:lastColumn="0" w:noHBand="0" w:noVBand="1"/>
      </w:tblPr>
      <w:tblGrid>
        <w:gridCol w:w="3858"/>
        <w:gridCol w:w="4994"/>
      </w:tblGrid>
      <w:tr w:rsidR="00D422D4" w:rsidRPr="004A2BBF" w14:paraId="3E38C436" w14:textId="77777777" w:rsidTr="00D422D4">
        <w:trPr>
          <w:trHeight w:val="229"/>
        </w:trPr>
        <w:tc>
          <w:tcPr>
            <w:tcW w:w="3858" w:type="dxa"/>
            <w:noWrap/>
          </w:tcPr>
          <w:p w14:paraId="3FDA1BAC" w14:textId="2F4E3E15" w:rsidR="00D422D4" w:rsidRPr="004A2BBF" w:rsidRDefault="00D422D4" w:rsidP="00276C47">
            <w:pPr>
              <w:jc w:val="both"/>
              <w:rPr>
                <w:rFonts w:asciiTheme="majorHAnsi" w:hAnsiTheme="majorHAnsi" w:cstheme="majorHAnsi"/>
                <w:b/>
                <w:bCs/>
              </w:rPr>
            </w:pPr>
          </w:p>
        </w:tc>
        <w:tc>
          <w:tcPr>
            <w:tcW w:w="4994" w:type="dxa"/>
            <w:hideMark/>
          </w:tcPr>
          <w:p w14:paraId="2D64685B" w14:textId="2647240B" w:rsidR="00D422D4" w:rsidRPr="004A2BBF" w:rsidRDefault="00D422D4" w:rsidP="004A2BBF">
            <w:pPr>
              <w:jc w:val="both"/>
              <w:rPr>
                <w:rFonts w:asciiTheme="majorHAnsi" w:hAnsiTheme="majorHAnsi" w:cstheme="majorHAnsi"/>
                <w:b/>
                <w:bCs/>
              </w:rPr>
            </w:pPr>
            <w:r>
              <w:rPr>
                <w:rFonts w:asciiTheme="majorHAnsi" w:hAnsiTheme="majorHAnsi" w:cstheme="majorHAnsi"/>
                <w:b/>
                <w:bCs/>
              </w:rPr>
              <w:t>Variables</w:t>
            </w:r>
          </w:p>
        </w:tc>
      </w:tr>
      <w:tr w:rsidR="00D422D4" w:rsidRPr="004A2BBF" w14:paraId="298D0EC3" w14:textId="77777777" w:rsidTr="00D422D4">
        <w:trPr>
          <w:trHeight w:val="621"/>
        </w:trPr>
        <w:tc>
          <w:tcPr>
            <w:tcW w:w="3858" w:type="dxa"/>
            <w:noWrap/>
            <w:hideMark/>
          </w:tcPr>
          <w:p w14:paraId="22CC1D5E" w14:textId="77777777" w:rsidR="00D422D4" w:rsidRPr="004A2BBF" w:rsidRDefault="00D422D4" w:rsidP="004A2BBF">
            <w:pPr>
              <w:jc w:val="both"/>
              <w:rPr>
                <w:rFonts w:asciiTheme="majorHAnsi" w:hAnsiTheme="majorHAnsi" w:cstheme="majorHAnsi"/>
              </w:rPr>
            </w:pPr>
            <w:r w:rsidRPr="004A2BBF">
              <w:rPr>
                <w:rFonts w:asciiTheme="majorHAnsi" w:hAnsiTheme="majorHAnsi" w:cstheme="majorHAnsi"/>
              </w:rPr>
              <w:t>Indicador 1</w:t>
            </w:r>
          </w:p>
        </w:tc>
        <w:tc>
          <w:tcPr>
            <w:tcW w:w="4994" w:type="dxa"/>
            <w:hideMark/>
          </w:tcPr>
          <w:p w14:paraId="0B8F6702" w14:textId="77777777" w:rsidR="00D422D4" w:rsidRPr="004A2BBF" w:rsidRDefault="00D422D4" w:rsidP="004A2BBF">
            <w:pPr>
              <w:jc w:val="both"/>
              <w:rPr>
                <w:rFonts w:asciiTheme="majorHAnsi" w:hAnsiTheme="majorHAnsi" w:cstheme="majorHAnsi"/>
              </w:rPr>
            </w:pPr>
            <w:r w:rsidRPr="004A2BBF">
              <w:rPr>
                <w:rFonts w:asciiTheme="majorHAnsi" w:hAnsiTheme="majorHAnsi" w:cstheme="majorHAnsi"/>
              </w:rPr>
              <w:t>Tasa de Homicidios por cada 100 mil habitantes</w:t>
            </w:r>
          </w:p>
        </w:tc>
      </w:tr>
      <w:tr w:rsidR="00D422D4" w:rsidRPr="004A2BBF" w14:paraId="732043E1" w14:textId="77777777" w:rsidTr="00D422D4">
        <w:trPr>
          <w:trHeight w:val="229"/>
        </w:trPr>
        <w:tc>
          <w:tcPr>
            <w:tcW w:w="3858" w:type="dxa"/>
            <w:noWrap/>
            <w:hideMark/>
          </w:tcPr>
          <w:p w14:paraId="237C0FE1" w14:textId="77777777" w:rsidR="00D422D4" w:rsidRPr="004A2BBF" w:rsidRDefault="00D422D4" w:rsidP="004A2BBF">
            <w:pPr>
              <w:jc w:val="both"/>
              <w:rPr>
                <w:rFonts w:asciiTheme="majorHAnsi" w:hAnsiTheme="majorHAnsi" w:cstheme="majorHAnsi"/>
              </w:rPr>
            </w:pPr>
            <w:r w:rsidRPr="004A2BBF">
              <w:rPr>
                <w:rFonts w:asciiTheme="majorHAnsi" w:hAnsiTheme="majorHAnsi" w:cstheme="majorHAnsi"/>
              </w:rPr>
              <w:t>Indicador 2*</w:t>
            </w:r>
          </w:p>
        </w:tc>
        <w:tc>
          <w:tcPr>
            <w:tcW w:w="4994" w:type="dxa"/>
            <w:hideMark/>
          </w:tcPr>
          <w:p w14:paraId="6979F7B0" w14:textId="77777777" w:rsidR="00D422D4" w:rsidRPr="004A2BBF" w:rsidRDefault="00D422D4" w:rsidP="004A2BBF">
            <w:pPr>
              <w:jc w:val="both"/>
              <w:rPr>
                <w:rFonts w:asciiTheme="majorHAnsi" w:hAnsiTheme="majorHAnsi" w:cstheme="majorHAnsi"/>
              </w:rPr>
            </w:pPr>
            <w:r w:rsidRPr="004A2BBF">
              <w:rPr>
                <w:rFonts w:asciiTheme="majorHAnsi" w:hAnsiTheme="majorHAnsi" w:cstheme="majorHAnsi"/>
              </w:rPr>
              <w:t>CV4. Percepción de seguridad (%)</w:t>
            </w:r>
          </w:p>
        </w:tc>
      </w:tr>
    </w:tbl>
    <w:p w14:paraId="49E20C1F" w14:textId="1BFA9929" w:rsidR="00AD6AA9" w:rsidRPr="00C536A1" w:rsidRDefault="00AD6AA9" w:rsidP="00AD6AA9">
      <w:pPr>
        <w:jc w:val="both"/>
        <w:rPr>
          <w:rFonts w:asciiTheme="majorHAnsi" w:hAnsiTheme="majorHAnsi" w:cstheme="majorHAnsi"/>
          <w:color w:val="4472C4" w:themeColor="accent1"/>
        </w:rPr>
      </w:pPr>
      <w:r w:rsidRPr="00C536A1">
        <w:rPr>
          <w:rFonts w:asciiTheme="majorHAnsi" w:hAnsiTheme="majorHAnsi" w:cstheme="majorHAnsi"/>
          <w:color w:val="4472C4" w:themeColor="accent1"/>
        </w:rPr>
        <w:t>Tipo de gráfica: Cruce de variables en una gráfica de líneas que refleje la evolución comparativamente por años</w:t>
      </w:r>
      <w:r>
        <w:rPr>
          <w:rFonts w:asciiTheme="majorHAnsi" w:hAnsiTheme="majorHAnsi" w:cstheme="majorHAnsi"/>
          <w:color w:val="4472C4" w:themeColor="accent1"/>
        </w:rPr>
        <w:t xml:space="preserve"> en cada indicador (combinados los dos en 1 gráfica)</w:t>
      </w:r>
    </w:p>
    <w:p w14:paraId="55ADC864" w14:textId="1A874D3A" w:rsidR="000E0D36" w:rsidRDefault="000E0D36" w:rsidP="00C36E9C">
      <w:pPr>
        <w:jc w:val="both"/>
        <w:rPr>
          <w:rFonts w:asciiTheme="majorHAnsi" w:hAnsiTheme="majorHAnsi" w:cstheme="majorHAnsi"/>
        </w:rPr>
      </w:pPr>
    </w:p>
    <w:p w14:paraId="49FAE3FC" w14:textId="4715C1C9" w:rsidR="00AD6AA9" w:rsidRPr="00202E84" w:rsidRDefault="00AD6AA9" w:rsidP="00AD6AA9">
      <w:pPr>
        <w:jc w:val="both"/>
        <w:rPr>
          <w:rFonts w:asciiTheme="majorHAnsi" w:hAnsiTheme="majorHAnsi" w:cstheme="majorHAnsi"/>
          <w:b/>
          <w:bCs/>
        </w:rPr>
      </w:pPr>
      <w:r>
        <w:rPr>
          <w:rFonts w:asciiTheme="majorHAnsi" w:hAnsiTheme="majorHAnsi" w:cstheme="majorHAnsi"/>
          <w:b/>
          <w:bCs/>
        </w:rPr>
        <w:t>LA FANTÁSTICA, NO TANTO EN INDICADORES DE POBREZA</w:t>
      </w:r>
    </w:p>
    <w:p w14:paraId="67EC7794" w14:textId="0A7762CC" w:rsidR="00BB6322" w:rsidRPr="00C36E9C" w:rsidRDefault="00202E84" w:rsidP="00C36E9C">
      <w:pPr>
        <w:jc w:val="both"/>
        <w:rPr>
          <w:rFonts w:asciiTheme="majorHAnsi" w:hAnsiTheme="majorHAnsi" w:cstheme="majorHAnsi"/>
        </w:rPr>
      </w:pPr>
      <w:r>
        <w:rPr>
          <w:rFonts w:asciiTheme="majorHAnsi" w:hAnsiTheme="majorHAnsi" w:cstheme="majorHAnsi"/>
        </w:rPr>
        <w:t>En cua</w:t>
      </w:r>
      <w:r w:rsidRPr="00202E84">
        <w:rPr>
          <w:rFonts w:asciiTheme="majorHAnsi" w:hAnsiTheme="majorHAnsi" w:cstheme="majorHAnsi"/>
        </w:rPr>
        <w:t>nto a las condiciones de vida de los cartageneros, más de 294 mil personas en la ciudad viven en condiciones de pobreza y más de 55 mil en indigencia. La mayoría de esta población está concentrada al margen de la Ciénaga de la Virgen y faldas de la Popa. Cartagena está entre las 5 ciudades capitales con mayor proporción de población en condición de pobreza en el país. La autopercepción de pobreza es crítica para la ciudad (29%) y se agudiza en la zona rural (55%).</w:t>
      </w:r>
    </w:p>
    <w:tbl>
      <w:tblPr>
        <w:tblStyle w:val="Tablaconcuadrcula"/>
        <w:tblW w:w="0" w:type="auto"/>
        <w:tblLook w:val="04A0" w:firstRow="1" w:lastRow="0" w:firstColumn="1" w:lastColumn="0" w:noHBand="0" w:noVBand="1"/>
      </w:tblPr>
      <w:tblGrid>
        <w:gridCol w:w="3836"/>
        <w:gridCol w:w="4966"/>
      </w:tblGrid>
      <w:tr w:rsidR="00D422D4" w:rsidRPr="00202E84" w14:paraId="341FDDD5" w14:textId="77777777" w:rsidTr="00D422D4">
        <w:trPr>
          <w:trHeight w:val="235"/>
        </w:trPr>
        <w:tc>
          <w:tcPr>
            <w:tcW w:w="3836" w:type="dxa"/>
            <w:noWrap/>
          </w:tcPr>
          <w:p w14:paraId="755F1756" w14:textId="48B9CA00" w:rsidR="00D422D4" w:rsidRPr="00202E84" w:rsidRDefault="00D422D4" w:rsidP="006348CF">
            <w:pPr>
              <w:jc w:val="both"/>
              <w:rPr>
                <w:rFonts w:asciiTheme="majorHAnsi" w:hAnsiTheme="majorHAnsi" w:cstheme="majorHAnsi"/>
                <w:b/>
                <w:bCs/>
              </w:rPr>
            </w:pPr>
          </w:p>
        </w:tc>
        <w:tc>
          <w:tcPr>
            <w:tcW w:w="4966" w:type="dxa"/>
            <w:hideMark/>
          </w:tcPr>
          <w:p w14:paraId="5C0F353A" w14:textId="0136BE68" w:rsidR="00D422D4" w:rsidRPr="00202E84" w:rsidRDefault="00D422D4" w:rsidP="00202E84">
            <w:pPr>
              <w:jc w:val="both"/>
              <w:rPr>
                <w:rFonts w:asciiTheme="majorHAnsi" w:hAnsiTheme="majorHAnsi" w:cstheme="majorHAnsi"/>
                <w:b/>
                <w:bCs/>
              </w:rPr>
            </w:pPr>
            <w:r>
              <w:rPr>
                <w:rFonts w:asciiTheme="majorHAnsi" w:hAnsiTheme="majorHAnsi" w:cstheme="majorHAnsi"/>
                <w:b/>
                <w:bCs/>
              </w:rPr>
              <w:t>Variables</w:t>
            </w:r>
          </w:p>
        </w:tc>
      </w:tr>
      <w:tr w:rsidR="00D422D4" w:rsidRPr="00202E84" w14:paraId="324E6E75" w14:textId="77777777" w:rsidTr="00D422D4">
        <w:trPr>
          <w:trHeight w:val="555"/>
        </w:trPr>
        <w:tc>
          <w:tcPr>
            <w:tcW w:w="3836" w:type="dxa"/>
            <w:noWrap/>
            <w:hideMark/>
          </w:tcPr>
          <w:p w14:paraId="458DFAE3" w14:textId="77777777" w:rsidR="00D422D4" w:rsidRPr="00202E84" w:rsidRDefault="00D422D4" w:rsidP="00202E84">
            <w:pPr>
              <w:jc w:val="both"/>
              <w:rPr>
                <w:rFonts w:asciiTheme="majorHAnsi" w:hAnsiTheme="majorHAnsi" w:cstheme="majorHAnsi"/>
              </w:rPr>
            </w:pPr>
            <w:r w:rsidRPr="00202E84">
              <w:rPr>
                <w:rFonts w:asciiTheme="majorHAnsi" w:hAnsiTheme="majorHAnsi" w:cstheme="majorHAnsi"/>
              </w:rPr>
              <w:t>Indicador 1</w:t>
            </w:r>
          </w:p>
        </w:tc>
        <w:tc>
          <w:tcPr>
            <w:tcW w:w="4966" w:type="dxa"/>
            <w:hideMark/>
          </w:tcPr>
          <w:p w14:paraId="72DEAD61" w14:textId="77777777" w:rsidR="00D422D4" w:rsidRPr="00202E84" w:rsidRDefault="00D422D4" w:rsidP="00202E84">
            <w:pPr>
              <w:jc w:val="both"/>
              <w:rPr>
                <w:rFonts w:asciiTheme="majorHAnsi" w:hAnsiTheme="majorHAnsi" w:cstheme="majorHAnsi"/>
              </w:rPr>
            </w:pPr>
            <w:r w:rsidRPr="00202E84">
              <w:rPr>
                <w:rFonts w:asciiTheme="majorHAnsi" w:hAnsiTheme="majorHAnsi" w:cstheme="majorHAnsi"/>
              </w:rPr>
              <w:t xml:space="preserve">Incidencia pobreza monetaria </w:t>
            </w:r>
          </w:p>
        </w:tc>
      </w:tr>
      <w:tr w:rsidR="00D422D4" w:rsidRPr="00202E84" w14:paraId="59CF3135" w14:textId="77777777" w:rsidTr="00D422D4">
        <w:trPr>
          <w:trHeight w:val="235"/>
        </w:trPr>
        <w:tc>
          <w:tcPr>
            <w:tcW w:w="3836" w:type="dxa"/>
            <w:noWrap/>
            <w:hideMark/>
          </w:tcPr>
          <w:p w14:paraId="05F04517" w14:textId="77777777" w:rsidR="00D422D4" w:rsidRPr="00202E84" w:rsidRDefault="00D422D4" w:rsidP="00202E84">
            <w:pPr>
              <w:jc w:val="both"/>
              <w:rPr>
                <w:rFonts w:asciiTheme="majorHAnsi" w:hAnsiTheme="majorHAnsi" w:cstheme="majorHAnsi"/>
              </w:rPr>
            </w:pPr>
            <w:r w:rsidRPr="00202E84">
              <w:rPr>
                <w:rFonts w:asciiTheme="majorHAnsi" w:hAnsiTheme="majorHAnsi" w:cstheme="majorHAnsi"/>
              </w:rPr>
              <w:t>Indicador 2*</w:t>
            </w:r>
          </w:p>
        </w:tc>
        <w:tc>
          <w:tcPr>
            <w:tcW w:w="4966" w:type="dxa"/>
            <w:hideMark/>
          </w:tcPr>
          <w:p w14:paraId="6D973AE0" w14:textId="77777777" w:rsidR="00D422D4" w:rsidRPr="00202E84" w:rsidRDefault="00D422D4" w:rsidP="00202E84">
            <w:pPr>
              <w:jc w:val="both"/>
              <w:rPr>
                <w:rFonts w:asciiTheme="majorHAnsi" w:hAnsiTheme="majorHAnsi" w:cstheme="majorHAnsi"/>
              </w:rPr>
            </w:pPr>
            <w:r w:rsidRPr="00202E84">
              <w:rPr>
                <w:rFonts w:asciiTheme="majorHAnsi" w:hAnsiTheme="majorHAnsi" w:cstheme="majorHAnsi"/>
              </w:rPr>
              <w:t>Incidencia pobreza monetaria extrema</w:t>
            </w:r>
          </w:p>
        </w:tc>
      </w:tr>
    </w:tbl>
    <w:p w14:paraId="72E5789B" w14:textId="77777777" w:rsidR="00AD6AA9" w:rsidRPr="00C536A1" w:rsidRDefault="00AD6AA9" w:rsidP="00AD6AA9">
      <w:pPr>
        <w:jc w:val="both"/>
        <w:rPr>
          <w:rFonts w:asciiTheme="majorHAnsi" w:hAnsiTheme="majorHAnsi" w:cstheme="majorHAnsi"/>
          <w:color w:val="4472C4" w:themeColor="accent1"/>
        </w:rPr>
      </w:pPr>
      <w:r w:rsidRPr="00C536A1">
        <w:rPr>
          <w:rFonts w:asciiTheme="majorHAnsi" w:hAnsiTheme="majorHAnsi" w:cstheme="majorHAnsi"/>
          <w:color w:val="4472C4" w:themeColor="accent1"/>
        </w:rPr>
        <w:t>Tipo de gráfica: Cruce de variables en una gráfica de líneas que refleje la evolución comparativamente por años</w:t>
      </w:r>
      <w:r>
        <w:rPr>
          <w:rFonts w:asciiTheme="majorHAnsi" w:hAnsiTheme="majorHAnsi" w:cstheme="majorHAnsi"/>
          <w:color w:val="4472C4" w:themeColor="accent1"/>
        </w:rPr>
        <w:t xml:space="preserve"> en cada indicador (combinados los dos en 1 gráfica)</w:t>
      </w:r>
    </w:p>
    <w:p w14:paraId="223238C8" w14:textId="236A82AA" w:rsidR="00202E84" w:rsidRDefault="00202E84" w:rsidP="00202E84">
      <w:pPr>
        <w:jc w:val="both"/>
        <w:rPr>
          <w:rFonts w:asciiTheme="majorHAnsi" w:hAnsiTheme="majorHAnsi" w:cstheme="majorHAnsi"/>
        </w:rPr>
      </w:pPr>
    </w:p>
    <w:p w14:paraId="48236702" w14:textId="1DF25008" w:rsidR="00AD6AA9" w:rsidRPr="00AD6AA9" w:rsidRDefault="00AD6AA9" w:rsidP="00202E84">
      <w:pPr>
        <w:jc w:val="both"/>
        <w:rPr>
          <w:rFonts w:asciiTheme="majorHAnsi" w:hAnsiTheme="majorHAnsi" w:cstheme="majorHAnsi"/>
          <w:b/>
        </w:rPr>
      </w:pPr>
      <w:r>
        <w:rPr>
          <w:rFonts w:asciiTheme="majorHAnsi" w:hAnsiTheme="majorHAnsi" w:cstheme="majorHAnsi"/>
          <w:b/>
        </w:rPr>
        <w:t>ALTAS TASAS DE PODUCCIÓN DE BASURA AFECTA LA SOSTENIBILIDAD DE CARTAGENA</w:t>
      </w:r>
    </w:p>
    <w:p w14:paraId="0A6143BF" w14:textId="48DFDA58" w:rsidR="00202E84" w:rsidRDefault="00202E84" w:rsidP="00202E84">
      <w:pPr>
        <w:jc w:val="both"/>
        <w:rPr>
          <w:rFonts w:asciiTheme="majorHAnsi" w:hAnsiTheme="majorHAnsi" w:cstheme="majorHAnsi"/>
        </w:rPr>
      </w:pPr>
      <w:r w:rsidRPr="00202E84">
        <w:rPr>
          <w:rFonts w:asciiTheme="majorHAnsi" w:hAnsiTheme="majorHAnsi" w:cstheme="majorHAnsi"/>
        </w:rPr>
        <w:t>Por último, un tema que es importante resaltar es la producción de residuos sólidos en Cartagena</w:t>
      </w:r>
      <w:r w:rsidR="00AD6AA9" w:rsidRPr="00AD6AA9">
        <w:rPr>
          <w:rFonts w:asciiTheme="majorHAnsi" w:hAnsiTheme="majorHAnsi" w:cstheme="majorHAnsi"/>
        </w:rPr>
        <w:t xml:space="preserve"> </w:t>
      </w:r>
      <w:r w:rsidR="00AD6AA9" w:rsidRPr="00202E84">
        <w:rPr>
          <w:rFonts w:asciiTheme="majorHAnsi" w:hAnsiTheme="majorHAnsi" w:cstheme="majorHAnsi"/>
        </w:rPr>
        <w:t>que ha venido en aumento durante los últimos 4 años</w:t>
      </w:r>
      <w:r w:rsidR="00AD6AA9">
        <w:rPr>
          <w:rFonts w:asciiTheme="majorHAnsi" w:hAnsiTheme="majorHAnsi" w:cstheme="majorHAnsi"/>
        </w:rPr>
        <w:t xml:space="preserve">. Este indicador es de especial </w:t>
      </w:r>
      <w:r w:rsidR="00091D6C">
        <w:rPr>
          <w:rFonts w:asciiTheme="majorHAnsi" w:hAnsiTheme="majorHAnsi" w:cstheme="majorHAnsi"/>
        </w:rPr>
        <w:t>preocupación por</w:t>
      </w:r>
      <w:r w:rsidR="00AD6AA9">
        <w:rPr>
          <w:rFonts w:asciiTheme="majorHAnsi" w:hAnsiTheme="majorHAnsi" w:cstheme="majorHAnsi"/>
        </w:rPr>
        <w:t xml:space="preserve"> los compromisos que las ciudades </w:t>
      </w:r>
      <w:r w:rsidR="004317F6">
        <w:rPr>
          <w:rFonts w:asciiTheme="majorHAnsi" w:hAnsiTheme="majorHAnsi" w:cstheme="majorHAnsi"/>
        </w:rPr>
        <w:t>deben asumir para mejorar</w:t>
      </w:r>
      <w:r w:rsidR="00AD6AA9">
        <w:rPr>
          <w:rFonts w:asciiTheme="majorHAnsi" w:hAnsiTheme="majorHAnsi" w:cstheme="majorHAnsi"/>
        </w:rPr>
        <w:t xml:space="preserve"> la sostenibilidad ambiental </w:t>
      </w:r>
      <w:r w:rsidR="004317F6">
        <w:rPr>
          <w:rFonts w:asciiTheme="majorHAnsi" w:hAnsiTheme="majorHAnsi" w:cstheme="majorHAnsi"/>
        </w:rPr>
        <w:t>de sus actividades económicas de cara a los Objetivos de Desarrollo Sostenible</w:t>
      </w:r>
      <w:r w:rsidRPr="00202E84">
        <w:rPr>
          <w:rFonts w:asciiTheme="majorHAnsi" w:hAnsiTheme="majorHAnsi" w:cstheme="majorHAnsi"/>
        </w:rPr>
        <w:t xml:space="preserve">. En 2016 </w:t>
      </w:r>
      <w:r w:rsidR="004317F6">
        <w:rPr>
          <w:rFonts w:asciiTheme="majorHAnsi" w:hAnsiTheme="majorHAnsi" w:cstheme="majorHAnsi"/>
        </w:rPr>
        <w:t>los cartageneros produjeron</w:t>
      </w:r>
      <w:r w:rsidRPr="00202E84">
        <w:rPr>
          <w:rFonts w:asciiTheme="majorHAnsi" w:hAnsiTheme="majorHAnsi" w:cstheme="majorHAnsi"/>
        </w:rPr>
        <w:t xml:space="preserve"> 1,21 Kg/Hab</w:t>
      </w:r>
      <w:r w:rsidR="004317F6">
        <w:rPr>
          <w:rFonts w:asciiTheme="majorHAnsi" w:hAnsiTheme="majorHAnsi" w:cstheme="majorHAnsi"/>
        </w:rPr>
        <w:t>.</w:t>
      </w:r>
      <w:r w:rsidRPr="00202E84">
        <w:rPr>
          <w:rFonts w:asciiTheme="majorHAnsi" w:hAnsiTheme="majorHAnsi" w:cstheme="majorHAnsi"/>
        </w:rPr>
        <w:t xml:space="preserve"> y </w:t>
      </w:r>
      <w:r w:rsidR="004317F6">
        <w:rPr>
          <w:rFonts w:asciiTheme="majorHAnsi" w:hAnsiTheme="majorHAnsi" w:cstheme="majorHAnsi"/>
        </w:rPr>
        <w:t xml:space="preserve">en total más </w:t>
      </w:r>
      <w:r w:rsidRPr="00202E84">
        <w:rPr>
          <w:rFonts w:asciiTheme="majorHAnsi" w:hAnsiTheme="majorHAnsi" w:cstheme="majorHAnsi"/>
        </w:rPr>
        <w:t>de 430 mil toneladas al año. Se ha identificado que el primer puente festivo del año es el día en que más se generan residuos en las playas. Así mismo, el Centro Histórico de la ciudad es el sector que más concentra producción de residuos por su vocación turística y comercial. En 2016 aumentó la insatisfacción de los cartageneros con aspectos relacionados con el medio ambiente, principalmente con las basuras (75% está insatisfecho) y escombros en las calles (72%).</w:t>
      </w:r>
    </w:p>
    <w:tbl>
      <w:tblPr>
        <w:tblStyle w:val="Tablaconcuadrcula"/>
        <w:tblW w:w="8859" w:type="dxa"/>
        <w:tblLook w:val="04A0" w:firstRow="1" w:lastRow="0" w:firstColumn="1" w:lastColumn="0" w:noHBand="0" w:noVBand="1"/>
      </w:tblPr>
      <w:tblGrid>
        <w:gridCol w:w="8859"/>
      </w:tblGrid>
      <w:tr w:rsidR="00D422D4" w:rsidRPr="00202E84" w14:paraId="4E585281" w14:textId="77777777" w:rsidTr="00D422D4">
        <w:trPr>
          <w:trHeight w:val="152"/>
        </w:trPr>
        <w:tc>
          <w:tcPr>
            <w:tcW w:w="8859" w:type="dxa"/>
            <w:hideMark/>
          </w:tcPr>
          <w:p w14:paraId="22BCBA74" w14:textId="6C7918F1" w:rsidR="00D422D4" w:rsidRPr="00202E84" w:rsidRDefault="00D422D4" w:rsidP="00202E84">
            <w:pPr>
              <w:jc w:val="both"/>
              <w:rPr>
                <w:rFonts w:asciiTheme="majorHAnsi" w:hAnsiTheme="majorHAnsi" w:cstheme="majorHAnsi"/>
                <w:b/>
                <w:bCs/>
              </w:rPr>
            </w:pPr>
            <w:r>
              <w:rPr>
                <w:rFonts w:asciiTheme="majorHAnsi" w:hAnsiTheme="majorHAnsi" w:cstheme="majorHAnsi"/>
                <w:b/>
                <w:bCs/>
              </w:rPr>
              <w:t>Variables</w:t>
            </w:r>
          </w:p>
        </w:tc>
      </w:tr>
      <w:tr w:rsidR="00D422D4" w:rsidRPr="00202E84" w14:paraId="198B24B9" w14:textId="77777777" w:rsidTr="00D422D4">
        <w:trPr>
          <w:trHeight w:val="296"/>
        </w:trPr>
        <w:tc>
          <w:tcPr>
            <w:tcW w:w="8859" w:type="dxa"/>
            <w:hideMark/>
          </w:tcPr>
          <w:p w14:paraId="2D620092" w14:textId="77777777" w:rsidR="00D422D4" w:rsidRPr="00202E84" w:rsidRDefault="00D422D4" w:rsidP="00202E84">
            <w:pPr>
              <w:jc w:val="both"/>
              <w:rPr>
                <w:rFonts w:asciiTheme="majorHAnsi" w:hAnsiTheme="majorHAnsi" w:cstheme="majorHAnsi"/>
              </w:rPr>
            </w:pPr>
            <w:r w:rsidRPr="00202E84">
              <w:rPr>
                <w:rFonts w:asciiTheme="majorHAnsi" w:hAnsiTheme="majorHAnsi" w:cstheme="majorHAnsi"/>
              </w:rPr>
              <w:t>Generación de residuos sólidos urbanos (Kg diarios por habitante)</w:t>
            </w:r>
          </w:p>
        </w:tc>
      </w:tr>
      <w:tr w:rsidR="00D422D4" w:rsidRPr="00202E84" w14:paraId="43FCD4D2" w14:textId="77777777" w:rsidTr="00D422D4">
        <w:trPr>
          <w:trHeight w:val="305"/>
        </w:trPr>
        <w:tc>
          <w:tcPr>
            <w:tcW w:w="8859" w:type="dxa"/>
            <w:hideMark/>
          </w:tcPr>
          <w:p w14:paraId="0A0C9C69" w14:textId="77777777" w:rsidR="00D422D4" w:rsidRPr="00202E84" w:rsidRDefault="00D422D4" w:rsidP="00202E84">
            <w:pPr>
              <w:jc w:val="both"/>
              <w:rPr>
                <w:rFonts w:asciiTheme="majorHAnsi" w:hAnsiTheme="majorHAnsi" w:cstheme="majorHAnsi"/>
              </w:rPr>
            </w:pPr>
            <w:r w:rsidRPr="00202E84">
              <w:rPr>
                <w:rFonts w:asciiTheme="majorHAnsi" w:hAnsiTheme="majorHAnsi" w:cstheme="majorHAnsi"/>
              </w:rPr>
              <w:t>MA3_6 Satisfacción con aspectos relacionados con el medio ambiente: basuras en la calle (%)</w:t>
            </w:r>
          </w:p>
        </w:tc>
      </w:tr>
    </w:tbl>
    <w:p w14:paraId="0F106A75" w14:textId="77777777" w:rsidR="004317F6" w:rsidRPr="00C536A1" w:rsidRDefault="004317F6" w:rsidP="004317F6">
      <w:pPr>
        <w:jc w:val="both"/>
        <w:rPr>
          <w:rFonts w:asciiTheme="majorHAnsi" w:hAnsiTheme="majorHAnsi" w:cstheme="majorHAnsi"/>
          <w:color w:val="4472C4" w:themeColor="accent1"/>
        </w:rPr>
      </w:pPr>
      <w:r w:rsidRPr="00C536A1">
        <w:rPr>
          <w:rFonts w:asciiTheme="majorHAnsi" w:hAnsiTheme="majorHAnsi" w:cstheme="majorHAnsi"/>
          <w:color w:val="4472C4" w:themeColor="accent1"/>
        </w:rPr>
        <w:t>Tipo de gráfica: Cruce de variables en una gráfica de líneas que refleje la evolución comparativamente por años</w:t>
      </w:r>
      <w:r>
        <w:rPr>
          <w:rFonts w:asciiTheme="majorHAnsi" w:hAnsiTheme="majorHAnsi" w:cstheme="majorHAnsi"/>
          <w:color w:val="4472C4" w:themeColor="accent1"/>
        </w:rPr>
        <w:t xml:space="preserve"> en cada indicador (combinados los dos en 1 gráfica)</w:t>
      </w:r>
      <w:bookmarkStart w:id="1" w:name="_GoBack"/>
      <w:bookmarkEnd w:id="1"/>
    </w:p>
    <w:p w14:paraId="64F51217" w14:textId="77777777" w:rsidR="00C36E9C" w:rsidRPr="00C36E9C" w:rsidRDefault="00C36E9C" w:rsidP="00C36E9C">
      <w:pPr>
        <w:jc w:val="both"/>
        <w:rPr>
          <w:rFonts w:asciiTheme="majorHAnsi" w:hAnsiTheme="majorHAnsi" w:cstheme="majorHAnsi"/>
        </w:rPr>
      </w:pPr>
    </w:p>
    <w:p w14:paraId="040C3FB7" w14:textId="77777777" w:rsidR="00C36E9C" w:rsidRPr="00C36E9C" w:rsidRDefault="00C36E9C" w:rsidP="00C36E9C">
      <w:pPr>
        <w:jc w:val="both"/>
        <w:rPr>
          <w:rFonts w:asciiTheme="majorHAnsi" w:hAnsiTheme="majorHAnsi" w:cstheme="majorHAnsi"/>
        </w:rPr>
      </w:pPr>
    </w:p>
    <w:sectPr w:rsidR="00C36E9C" w:rsidRPr="00C36E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322"/>
    <w:rsid w:val="00091D6C"/>
    <w:rsid w:val="000B7F93"/>
    <w:rsid w:val="000E0D36"/>
    <w:rsid w:val="00121605"/>
    <w:rsid w:val="00134E7D"/>
    <w:rsid w:val="00135873"/>
    <w:rsid w:val="00181956"/>
    <w:rsid w:val="00202E84"/>
    <w:rsid w:val="0025735E"/>
    <w:rsid w:val="00276C47"/>
    <w:rsid w:val="003F7148"/>
    <w:rsid w:val="004317F6"/>
    <w:rsid w:val="004A2BBF"/>
    <w:rsid w:val="004E5C27"/>
    <w:rsid w:val="005E06B6"/>
    <w:rsid w:val="006348CF"/>
    <w:rsid w:val="00691130"/>
    <w:rsid w:val="0078682F"/>
    <w:rsid w:val="007C1E1D"/>
    <w:rsid w:val="0082757D"/>
    <w:rsid w:val="008B05C7"/>
    <w:rsid w:val="00933407"/>
    <w:rsid w:val="00962F6C"/>
    <w:rsid w:val="00AD6AA9"/>
    <w:rsid w:val="00B237DA"/>
    <w:rsid w:val="00B55932"/>
    <w:rsid w:val="00BB6322"/>
    <w:rsid w:val="00C36E9C"/>
    <w:rsid w:val="00D34F88"/>
    <w:rsid w:val="00D422D4"/>
    <w:rsid w:val="00E525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6715E"/>
  <w15:chartTrackingRefBased/>
  <w15:docId w15:val="{0068BD53-FC87-4369-940E-D3DF99E2F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B6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04489">
      <w:bodyDiv w:val="1"/>
      <w:marLeft w:val="0"/>
      <w:marRight w:val="0"/>
      <w:marTop w:val="0"/>
      <w:marBottom w:val="0"/>
      <w:divBdr>
        <w:top w:val="none" w:sz="0" w:space="0" w:color="auto"/>
        <w:left w:val="none" w:sz="0" w:space="0" w:color="auto"/>
        <w:bottom w:val="none" w:sz="0" w:space="0" w:color="auto"/>
        <w:right w:val="none" w:sz="0" w:space="0" w:color="auto"/>
      </w:divBdr>
    </w:div>
    <w:div w:id="536360916">
      <w:bodyDiv w:val="1"/>
      <w:marLeft w:val="0"/>
      <w:marRight w:val="0"/>
      <w:marTop w:val="0"/>
      <w:marBottom w:val="0"/>
      <w:divBdr>
        <w:top w:val="none" w:sz="0" w:space="0" w:color="auto"/>
        <w:left w:val="none" w:sz="0" w:space="0" w:color="auto"/>
        <w:bottom w:val="none" w:sz="0" w:space="0" w:color="auto"/>
        <w:right w:val="none" w:sz="0" w:space="0" w:color="auto"/>
      </w:divBdr>
    </w:div>
    <w:div w:id="538125329">
      <w:bodyDiv w:val="1"/>
      <w:marLeft w:val="0"/>
      <w:marRight w:val="0"/>
      <w:marTop w:val="0"/>
      <w:marBottom w:val="0"/>
      <w:divBdr>
        <w:top w:val="none" w:sz="0" w:space="0" w:color="auto"/>
        <w:left w:val="none" w:sz="0" w:space="0" w:color="auto"/>
        <w:bottom w:val="none" w:sz="0" w:space="0" w:color="auto"/>
        <w:right w:val="none" w:sz="0" w:space="0" w:color="auto"/>
      </w:divBdr>
    </w:div>
    <w:div w:id="598174611">
      <w:bodyDiv w:val="1"/>
      <w:marLeft w:val="0"/>
      <w:marRight w:val="0"/>
      <w:marTop w:val="0"/>
      <w:marBottom w:val="0"/>
      <w:divBdr>
        <w:top w:val="none" w:sz="0" w:space="0" w:color="auto"/>
        <w:left w:val="none" w:sz="0" w:space="0" w:color="auto"/>
        <w:bottom w:val="none" w:sz="0" w:space="0" w:color="auto"/>
        <w:right w:val="none" w:sz="0" w:space="0" w:color="auto"/>
      </w:divBdr>
    </w:div>
    <w:div w:id="602107312">
      <w:bodyDiv w:val="1"/>
      <w:marLeft w:val="0"/>
      <w:marRight w:val="0"/>
      <w:marTop w:val="0"/>
      <w:marBottom w:val="0"/>
      <w:divBdr>
        <w:top w:val="none" w:sz="0" w:space="0" w:color="auto"/>
        <w:left w:val="none" w:sz="0" w:space="0" w:color="auto"/>
        <w:bottom w:val="none" w:sz="0" w:space="0" w:color="auto"/>
        <w:right w:val="none" w:sz="0" w:space="0" w:color="auto"/>
      </w:divBdr>
    </w:div>
    <w:div w:id="1135413660">
      <w:bodyDiv w:val="1"/>
      <w:marLeft w:val="0"/>
      <w:marRight w:val="0"/>
      <w:marTop w:val="0"/>
      <w:marBottom w:val="0"/>
      <w:divBdr>
        <w:top w:val="none" w:sz="0" w:space="0" w:color="auto"/>
        <w:left w:val="none" w:sz="0" w:space="0" w:color="auto"/>
        <w:bottom w:val="none" w:sz="0" w:space="0" w:color="auto"/>
        <w:right w:val="none" w:sz="0" w:space="0" w:color="auto"/>
      </w:divBdr>
    </w:div>
    <w:div w:id="1151555258">
      <w:bodyDiv w:val="1"/>
      <w:marLeft w:val="0"/>
      <w:marRight w:val="0"/>
      <w:marTop w:val="0"/>
      <w:marBottom w:val="0"/>
      <w:divBdr>
        <w:top w:val="none" w:sz="0" w:space="0" w:color="auto"/>
        <w:left w:val="none" w:sz="0" w:space="0" w:color="auto"/>
        <w:bottom w:val="none" w:sz="0" w:space="0" w:color="auto"/>
        <w:right w:val="none" w:sz="0" w:space="0" w:color="auto"/>
      </w:divBdr>
    </w:div>
    <w:div w:id="1555123832">
      <w:bodyDiv w:val="1"/>
      <w:marLeft w:val="0"/>
      <w:marRight w:val="0"/>
      <w:marTop w:val="0"/>
      <w:marBottom w:val="0"/>
      <w:divBdr>
        <w:top w:val="none" w:sz="0" w:space="0" w:color="auto"/>
        <w:left w:val="none" w:sz="0" w:space="0" w:color="auto"/>
        <w:bottom w:val="none" w:sz="0" w:space="0" w:color="auto"/>
        <w:right w:val="none" w:sz="0" w:space="0" w:color="auto"/>
      </w:divBdr>
    </w:div>
    <w:div w:id="1936861048">
      <w:bodyDiv w:val="1"/>
      <w:marLeft w:val="0"/>
      <w:marRight w:val="0"/>
      <w:marTop w:val="0"/>
      <w:marBottom w:val="0"/>
      <w:divBdr>
        <w:top w:val="none" w:sz="0" w:space="0" w:color="auto"/>
        <w:left w:val="none" w:sz="0" w:space="0" w:color="auto"/>
        <w:bottom w:val="none" w:sz="0" w:space="0" w:color="auto"/>
        <w:right w:val="none" w:sz="0" w:space="0" w:color="auto"/>
      </w:divBdr>
    </w:div>
    <w:div w:id="195737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648</Words>
  <Characters>3570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Pelaez</dc:creator>
  <cp:keywords/>
  <dc:description/>
  <cp:lastModifiedBy>Esteban Pelaez</cp:lastModifiedBy>
  <cp:revision>7</cp:revision>
  <dcterms:created xsi:type="dcterms:W3CDTF">2018-03-23T16:50:00Z</dcterms:created>
  <dcterms:modified xsi:type="dcterms:W3CDTF">2018-03-23T17:08:00Z</dcterms:modified>
</cp:coreProperties>
</file>