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26FE1" w14:textId="77777777" w:rsidR="002E295A" w:rsidRPr="00B12BC4" w:rsidRDefault="002E295A" w:rsidP="00E7090D">
      <w:pPr>
        <w:jc w:val="center"/>
        <w:rPr>
          <w:rFonts w:ascii="Times New Roman" w:hAnsi="Times New Roman" w:cs="Times New Roman"/>
          <w:sz w:val="22"/>
          <w:szCs w:val="22"/>
          <w:lang w:val="es-CO"/>
        </w:rPr>
      </w:pPr>
    </w:p>
    <w:p w14:paraId="3F9D377A" w14:textId="745CC39B" w:rsidR="00E7090D" w:rsidRPr="00B12BC4" w:rsidRDefault="00E7090D" w:rsidP="00432ED5">
      <w:pPr>
        <w:rPr>
          <w:rFonts w:ascii="Times New Roman" w:hAnsi="Times New Roman" w:cs="Times New Roman"/>
          <w:b/>
          <w:sz w:val="28"/>
          <w:szCs w:val="28"/>
        </w:rPr>
      </w:pPr>
      <w:r w:rsidRPr="00B12BC4">
        <w:rPr>
          <w:rFonts w:ascii="Times New Roman" w:hAnsi="Times New Roman" w:cs="Times New Roman"/>
          <w:b/>
          <w:sz w:val="28"/>
          <w:szCs w:val="28"/>
        </w:rPr>
        <w:t>Título de DASHBOARD:</w:t>
      </w:r>
      <w:r w:rsidR="00432ED5">
        <w:rPr>
          <w:rFonts w:ascii="Times New Roman" w:hAnsi="Times New Roman" w:cs="Times New Roman"/>
          <w:b/>
          <w:sz w:val="28"/>
          <w:szCs w:val="28"/>
        </w:rPr>
        <w:t xml:space="preserve"> </w:t>
      </w:r>
      <w:r w:rsidR="005C3491">
        <w:rPr>
          <w:rFonts w:ascii="Times New Roman" w:hAnsi="Times New Roman" w:cs="Times New Roman"/>
          <w:b/>
          <w:sz w:val="28"/>
          <w:szCs w:val="28"/>
        </w:rPr>
        <w:t xml:space="preserve">Santa Marta, tras los retos de calidad de vida en La Perla.  </w:t>
      </w:r>
    </w:p>
    <w:p w14:paraId="60E476B8" w14:textId="77777777" w:rsidR="00DB3FF8" w:rsidRPr="00B12BC4" w:rsidRDefault="00DB3FF8" w:rsidP="00E7090D">
      <w:pPr>
        <w:jc w:val="center"/>
        <w:rPr>
          <w:rFonts w:ascii="Times New Roman" w:hAnsi="Times New Roman" w:cs="Times New Roman"/>
          <w:b/>
          <w:sz w:val="28"/>
          <w:szCs w:val="28"/>
        </w:rPr>
      </w:pPr>
    </w:p>
    <w:p w14:paraId="37AB674E" w14:textId="355BD81F" w:rsidR="00DB3FF8" w:rsidRPr="00B12BC4" w:rsidRDefault="00DB3FF8" w:rsidP="00DB3FF8">
      <w:pPr>
        <w:jc w:val="both"/>
        <w:rPr>
          <w:rFonts w:ascii="Times New Roman" w:hAnsi="Times New Roman" w:cs="Times New Roman"/>
        </w:rPr>
      </w:pPr>
      <w:r w:rsidRPr="00B12BC4">
        <w:rPr>
          <w:rFonts w:ascii="Times New Roman" w:hAnsi="Times New Roman" w:cs="Times New Roman"/>
        </w:rPr>
        <w:t xml:space="preserve">Los cinco (5) temas definidos como prioritarios dentro del Distrito de Santa Marta fueron: </w:t>
      </w:r>
      <w:r w:rsidR="00AB1D56">
        <w:rPr>
          <w:rFonts w:ascii="Times New Roman" w:hAnsi="Times New Roman" w:cs="Times New Roman"/>
        </w:rPr>
        <w:t>Educación</w:t>
      </w:r>
      <w:r w:rsidRPr="00B12BC4">
        <w:rPr>
          <w:rFonts w:ascii="Times New Roman" w:hAnsi="Times New Roman" w:cs="Times New Roman"/>
        </w:rPr>
        <w:t xml:space="preserve">, </w:t>
      </w:r>
      <w:r w:rsidR="0000777F">
        <w:rPr>
          <w:rFonts w:ascii="Times New Roman" w:hAnsi="Times New Roman" w:cs="Times New Roman"/>
        </w:rPr>
        <w:t>Se</w:t>
      </w:r>
      <w:r w:rsidRPr="00B12BC4">
        <w:rPr>
          <w:rFonts w:ascii="Times New Roman" w:hAnsi="Times New Roman" w:cs="Times New Roman"/>
        </w:rPr>
        <w:t xml:space="preserve">guridad </w:t>
      </w:r>
      <w:r w:rsidR="00AB1D56">
        <w:rPr>
          <w:rFonts w:ascii="Times New Roman" w:hAnsi="Times New Roman" w:cs="Times New Roman"/>
        </w:rPr>
        <w:t>Ciudadana, E</w:t>
      </w:r>
      <w:r w:rsidR="005C3491">
        <w:rPr>
          <w:rFonts w:ascii="Times New Roman" w:hAnsi="Times New Roman" w:cs="Times New Roman"/>
        </w:rPr>
        <w:t>mpleo, Pobreza y De</w:t>
      </w:r>
      <w:r w:rsidR="007D6D07">
        <w:rPr>
          <w:rFonts w:ascii="Times New Roman" w:hAnsi="Times New Roman" w:cs="Times New Roman"/>
        </w:rPr>
        <w:t xml:space="preserve">sigualdad, y </w:t>
      </w:r>
      <w:r w:rsidR="00AB1D56">
        <w:rPr>
          <w:rFonts w:ascii="Times New Roman" w:hAnsi="Times New Roman" w:cs="Times New Roman"/>
        </w:rPr>
        <w:t>Servicios Públicos</w:t>
      </w:r>
    </w:p>
    <w:p w14:paraId="6D68A349" w14:textId="77777777" w:rsidR="00003362" w:rsidRPr="00B12BC4" w:rsidRDefault="00003362" w:rsidP="00DB3FF8">
      <w:pPr>
        <w:jc w:val="both"/>
        <w:rPr>
          <w:rFonts w:ascii="Times New Roman" w:hAnsi="Times New Roman" w:cs="Times New Roman"/>
        </w:rPr>
      </w:pPr>
    </w:p>
    <w:p w14:paraId="624D10B8" w14:textId="47BB738E" w:rsidR="00003362" w:rsidRPr="00B12BC4" w:rsidRDefault="005C3491" w:rsidP="00884DBB">
      <w:pPr>
        <w:pStyle w:val="Prrafodelista"/>
        <w:numPr>
          <w:ilvl w:val="0"/>
          <w:numId w:val="26"/>
        </w:numPr>
        <w:jc w:val="both"/>
        <w:rPr>
          <w:rFonts w:ascii="Times New Roman" w:hAnsi="Times New Roman" w:cs="Times New Roman"/>
          <w:b/>
        </w:rPr>
      </w:pPr>
      <w:r>
        <w:rPr>
          <w:rFonts w:ascii="Times New Roman" w:hAnsi="Times New Roman" w:cs="Times New Roman"/>
          <w:b/>
        </w:rPr>
        <w:t xml:space="preserve">La Perla y la necesidad de un salto significativo en calidad educativa.  </w:t>
      </w:r>
    </w:p>
    <w:p w14:paraId="14609794" w14:textId="77777777" w:rsidR="00571155" w:rsidRPr="00B12BC4" w:rsidRDefault="00571155" w:rsidP="00DB3FF8">
      <w:pPr>
        <w:jc w:val="both"/>
        <w:rPr>
          <w:rFonts w:ascii="Times New Roman" w:hAnsi="Times New Roman" w:cs="Times New Roman"/>
          <w:b/>
        </w:rPr>
      </w:pPr>
    </w:p>
    <w:p w14:paraId="58A3C169" w14:textId="31E47683" w:rsidR="00571155" w:rsidRPr="00B12BC4" w:rsidRDefault="005C3491" w:rsidP="00DB3FF8">
      <w:pPr>
        <w:jc w:val="both"/>
        <w:rPr>
          <w:rFonts w:ascii="Times New Roman" w:hAnsi="Times New Roman" w:cs="Times New Roman"/>
        </w:rPr>
      </w:pPr>
      <w:r>
        <w:rPr>
          <w:rFonts w:ascii="Times New Roman" w:hAnsi="Times New Roman" w:cs="Times New Roman"/>
        </w:rPr>
        <w:t xml:space="preserve">La cobertura educativa en los últimos años en la ciudad para primaria y secundaria ha aumentado, a tal punto que hoy día hay indicadores brutos y netos de cobertura por encima y muy cerca de 100% respectivamente.  </w:t>
      </w:r>
      <w:r w:rsidR="004C5445" w:rsidRPr="00B12BC4">
        <w:rPr>
          <w:rFonts w:ascii="Times New Roman" w:hAnsi="Times New Roman" w:cs="Times New Roman"/>
        </w:rPr>
        <w:t>No obsta</w:t>
      </w:r>
      <w:r>
        <w:rPr>
          <w:rFonts w:ascii="Times New Roman" w:hAnsi="Times New Roman" w:cs="Times New Roman"/>
        </w:rPr>
        <w:t>nte, los primeros problemas de La P</w:t>
      </w:r>
      <w:r w:rsidR="004C5445" w:rsidRPr="00B12BC4">
        <w:rPr>
          <w:rFonts w:ascii="Times New Roman" w:hAnsi="Times New Roman" w:cs="Times New Roman"/>
        </w:rPr>
        <w:t xml:space="preserve">erla nacen en la cobertura en la educación media, </w:t>
      </w:r>
      <w:r w:rsidR="008D563C" w:rsidRPr="00B12BC4">
        <w:rPr>
          <w:rFonts w:ascii="Times New Roman" w:hAnsi="Times New Roman" w:cs="Times New Roman"/>
        </w:rPr>
        <w:t xml:space="preserve">donde el total de matriculados no </w:t>
      </w:r>
      <w:r w:rsidR="00A35909" w:rsidRPr="00B12BC4">
        <w:rPr>
          <w:rFonts w:ascii="Times New Roman" w:hAnsi="Times New Roman" w:cs="Times New Roman"/>
        </w:rPr>
        <w:t>alcanza el 80%</w:t>
      </w:r>
      <w:r w:rsidR="008D563C" w:rsidRPr="00B12BC4">
        <w:rPr>
          <w:rFonts w:ascii="Times New Roman" w:hAnsi="Times New Roman" w:cs="Times New Roman"/>
        </w:rPr>
        <w:t>, mientras que en secundaria sobre pasa el 100%, lo cual eviden</w:t>
      </w:r>
      <w:r w:rsidR="00B77652" w:rsidRPr="00B12BC4">
        <w:rPr>
          <w:rFonts w:ascii="Times New Roman" w:hAnsi="Times New Roman" w:cs="Times New Roman"/>
        </w:rPr>
        <w:t>cia un abandono de los estudios</w:t>
      </w:r>
      <w:r w:rsidR="00745C6B" w:rsidRPr="00B12BC4">
        <w:rPr>
          <w:rFonts w:ascii="Times New Roman" w:hAnsi="Times New Roman" w:cs="Times New Roman"/>
        </w:rPr>
        <w:t xml:space="preserve"> en este último nivel</w:t>
      </w:r>
      <w:r>
        <w:rPr>
          <w:rFonts w:ascii="Times New Roman" w:hAnsi="Times New Roman" w:cs="Times New Roman"/>
        </w:rPr>
        <w:t xml:space="preserve"> y la necesidad de afianzar estrategias de permanencia para los últimos grados. </w:t>
      </w:r>
    </w:p>
    <w:p w14:paraId="1AA887F3" w14:textId="3091E6D4" w:rsidR="00745C6B" w:rsidRPr="00B12BC4" w:rsidRDefault="005C3491" w:rsidP="00DB3FF8">
      <w:pPr>
        <w:jc w:val="both"/>
        <w:rPr>
          <w:rFonts w:ascii="Times New Roman" w:hAnsi="Times New Roman" w:cs="Times New Roman"/>
        </w:rPr>
      </w:pPr>
      <w:r>
        <w:rPr>
          <w:rFonts w:ascii="Times New Roman" w:hAnsi="Times New Roman" w:cs="Times New Roman"/>
        </w:rPr>
        <w:t xml:space="preserve">Ahora, el principal problema asociado a la educación corresponde a la calidad educativa, la cual ha sido el elemento ausente para </w:t>
      </w:r>
      <w:r w:rsidR="00921473">
        <w:rPr>
          <w:rFonts w:ascii="Times New Roman" w:hAnsi="Times New Roman" w:cs="Times New Roman"/>
        </w:rPr>
        <w:t xml:space="preserve">disminuir </w:t>
      </w:r>
      <w:r w:rsidR="00FA192A">
        <w:rPr>
          <w:rFonts w:ascii="Times New Roman" w:hAnsi="Times New Roman" w:cs="Times New Roman"/>
        </w:rPr>
        <w:t xml:space="preserve">brechas sociales y desarrollar el capital humano de los samarios. </w:t>
      </w:r>
      <w:r w:rsidR="009D2079">
        <w:rPr>
          <w:rFonts w:ascii="Times New Roman" w:hAnsi="Times New Roman" w:cs="Times New Roman"/>
        </w:rPr>
        <w:t xml:space="preserve">En </w:t>
      </w:r>
      <w:r w:rsidR="00076B8D" w:rsidRPr="00B12BC4">
        <w:rPr>
          <w:rFonts w:ascii="Times New Roman" w:hAnsi="Times New Roman" w:cs="Times New Roman"/>
        </w:rPr>
        <w:t>2016</w:t>
      </w:r>
      <w:r w:rsidR="00FA192A">
        <w:rPr>
          <w:rFonts w:ascii="Times New Roman" w:hAnsi="Times New Roman" w:cs="Times New Roman"/>
        </w:rPr>
        <w:t xml:space="preserve">, </w:t>
      </w:r>
      <w:r w:rsidR="00076B8D" w:rsidRPr="00B12BC4">
        <w:rPr>
          <w:rFonts w:ascii="Times New Roman" w:hAnsi="Times New Roman" w:cs="Times New Roman"/>
        </w:rPr>
        <w:t xml:space="preserve">según las cifras del Ministerio de Educación Nacional, el 87% de las instituciones educativas oficiales del Distrito fueron calificadas entre C y D, de acuerdo a los resultados de la Prueba Saber 11°. </w:t>
      </w:r>
      <w:r w:rsidR="009D2079">
        <w:rPr>
          <w:rFonts w:ascii="Times New Roman" w:hAnsi="Times New Roman" w:cs="Times New Roman"/>
        </w:rPr>
        <w:t xml:space="preserve">La ausencia de una educación de calidad es un elemento común a todos los niveles educativos y a los colegios públicos y privados, prueba de ello es que </w:t>
      </w:r>
      <w:r w:rsidR="00A46E0C" w:rsidRPr="00B12BC4">
        <w:rPr>
          <w:rFonts w:ascii="Times New Roman" w:hAnsi="Times New Roman" w:cs="Times New Roman"/>
        </w:rPr>
        <w:t xml:space="preserve">los resultados de las pruebas </w:t>
      </w:r>
      <w:r w:rsidR="009D2079">
        <w:rPr>
          <w:rFonts w:ascii="Times New Roman" w:hAnsi="Times New Roman" w:cs="Times New Roman"/>
        </w:rPr>
        <w:t xml:space="preserve">SABER </w:t>
      </w:r>
      <w:r w:rsidR="00A46E0C" w:rsidRPr="00B12BC4">
        <w:rPr>
          <w:rFonts w:ascii="Times New Roman" w:hAnsi="Times New Roman" w:cs="Times New Roman"/>
        </w:rPr>
        <w:t>de 5º arrojan que solo el 14% y 29%</w:t>
      </w:r>
      <w:r w:rsidR="009D2079">
        <w:rPr>
          <w:rFonts w:ascii="Times New Roman" w:hAnsi="Times New Roman" w:cs="Times New Roman"/>
        </w:rPr>
        <w:t xml:space="preserve"> de los estudiantes</w:t>
      </w:r>
      <w:r w:rsidR="00A46E0C" w:rsidRPr="00B12BC4">
        <w:rPr>
          <w:rFonts w:ascii="Times New Roman" w:hAnsi="Times New Roman" w:cs="Times New Roman"/>
        </w:rPr>
        <w:t xml:space="preserve"> alcanzaron el nivel avanzado o satisfactorio en </w:t>
      </w:r>
      <w:r w:rsidR="009D2079">
        <w:rPr>
          <w:rFonts w:ascii="Times New Roman" w:hAnsi="Times New Roman" w:cs="Times New Roman"/>
        </w:rPr>
        <w:t xml:space="preserve">la competencia </w:t>
      </w:r>
      <w:r w:rsidR="00A46E0C" w:rsidRPr="00B12BC4">
        <w:rPr>
          <w:rFonts w:ascii="Times New Roman" w:hAnsi="Times New Roman" w:cs="Times New Roman"/>
        </w:rPr>
        <w:t>de lenguaje y matemática</w:t>
      </w:r>
      <w:r w:rsidR="009D2079">
        <w:rPr>
          <w:rFonts w:ascii="Times New Roman" w:hAnsi="Times New Roman" w:cs="Times New Roman"/>
        </w:rPr>
        <w:t>s</w:t>
      </w:r>
      <w:r w:rsidR="00A46E0C" w:rsidRPr="00B12BC4">
        <w:rPr>
          <w:rFonts w:ascii="Times New Roman" w:hAnsi="Times New Roman" w:cs="Times New Roman"/>
        </w:rPr>
        <w:t xml:space="preserve"> respectivamente, mientras que para 9° </w:t>
      </w:r>
      <w:r w:rsidR="009D2079">
        <w:rPr>
          <w:rFonts w:ascii="Times New Roman" w:hAnsi="Times New Roman" w:cs="Times New Roman"/>
        </w:rPr>
        <w:t xml:space="preserve">dicha proporción corresponde a </w:t>
      </w:r>
      <w:r w:rsidR="00A46E0C" w:rsidRPr="00B12BC4">
        <w:rPr>
          <w:rFonts w:ascii="Times New Roman" w:hAnsi="Times New Roman" w:cs="Times New Roman"/>
        </w:rPr>
        <w:t xml:space="preserve">34%  y 13% </w:t>
      </w:r>
      <w:r w:rsidR="009D2079">
        <w:rPr>
          <w:rFonts w:ascii="Times New Roman" w:hAnsi="Times New Roman" w:cs="Times New Roman"/>
        </w:rPr>
        <w:t>respectivamente</w:t>
      </w:r>
      <w:r w:rsidR="00A46E0C" w:rsidRPr="00B12BC4">
        <w:rPr>
          <w:rFonts w:ascii="Times New Roman" w:hAnsi="Times New Roman" w:cs="Times New Roman"/>
        </w:rPr>
        <w:t>.</w:t>
      </w:r>
    </w:p>
    <w:p w14:paraId="534A75DD" w14:textId="01D73E2D" w:rsidR="00745C6B" w:rsidRPr="00B12BC4" w:rsidRDefault="00745C6B" w:rsidP="00DB3FF8">
      <w:pPr>
        <w:jc w:val="both"/>
        <w:rPr>
          <w:rFonts w:ascii="Times New Roman" w:hAnsi="Times New Roman" w:cs="Times New Roman"/>
        </w:rPr>
      </w:pPr>
    </w:p>
    <w:p w14:paraId="74F747C8" w14:textId="4D89C043" w:rsidR="00320FD8" w:rsidRPr="00B31675" w:rsidRDefault="00320FD8" w:rsidP="00320FD8">
      <w:pPr>
        <w:jc w:val="center"/>
        <w:rPr>
          <w:rFonts w:ascii="Times New Roman" w:hAnsi="Times New Roman" w:cs="Times New Roman"/>
          <w:b/>
          <w:sz w:val="20"/>
          <w:szCs w:val="20"/>
        </w:rPr>
      </w:pPr>
      <w:r w:rsidRPr="00B31675">
        <w:rPr>
          <w:rFonts w:ascii="Times New Roman" w:hAnsi="Times New Roman" w:cs="Times New Roman"/>
          <w:b/>
          <w:sz w:val="20"/>
          <w:szCs w:val="20"/>
        </w:rPr>
        <w:t>Tasa de cobertura Bruta (TCB) por niveles del Distrito de Santa Marta 2016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4551"/>
      </w:tblGrid>
      <w:tr w:rsidR="0013243D" w:rsidRPr="00B12BC4" w14:paraId="182F8E1F" w14:textId="77777777" w:rsidTr="005C3491">
        <w:trPr>
          <w:trHeight w:val="1478"/>
        </w:trPr>
        <w:tc>
          <w:tcPr>
            <w:tcW w:w="9054" w:type="dxa"/>
            <w:gridSpan w:val="2"/>
          </w:tcPr>
          <w:p w14:paraId="4704A4B5" w14:textId="358FE320" w:rsidR="0013243D" w:rsidRPr="00B12BC4" w:rsidRDefault="0013243D" w:rsidP="00320FD8">
            <w:pPr>
              <w:jc w:val="center"/>
              <w:rPr>
                <w:rFonts w:ascii="Times New Roman" w:hAnsi="Times New Roman" w:cs="Times New Roman"/>
              </w:rPr>
            </w:pPr>
            <w:r w:rsidRPr="00B12BC4">
              <w:rPr>
                <w:rFonts w:ascii="Times New Roman" w:hAnsi="Times New Roman" w:cs="Times New Roman"/>
                <w:noProof/>
                <w:lang w:eastAsia="es-ES_tradnl"/>
              </w:rPr>
              <w:drawing>
                <wp:inline distT="0" distB="0" distL="0" distR="0" wp14:anchorId="6C090010" wp14:editId="66F58B8B">
                  <wp:extent cx="5508171" cy="914400"/>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C7364F" w:rsidRPr="00B12BC4" w14:paraId="23B206D4" w14:textId="77777777" w:rsidTr="00320FD8">
        <w:trPr>
          <w:trHeight w:val="76"/>
        </w:trPr>
        <w:tc>
          <w:tcPr>
            <w:tcW w:w="4503" w:type="dxa"/>
          </w:tcPr>
          <w:p w14:paraId="1ACC73C5" w14:textId="77777777" w:rsidR="005C3491" w:rsidRDefault="005C3491" w:rsidP="00C7364F">
            <w:pPr>
              <w:jc w:val="center"/>
              <w:rPr>
                <w:rFonts w:ascii="Times New Roman" w:hAnsi="Times New Roman" w:cs="Times New Roman"/>
                <w:sz w:val="16"/>
                <w:szCs w:val="16"/>
              </w:rPr>
            </w:pPr>
          </w:p>
          <w:p w14:paraId="30821C11" w14:textId="77777777" w:rsidR="005C3491" w:rsidRDefault="005C3491" w:rsidP="00C7364F">
            <w:pPr>
              <w:jc w:val="center"/>
              <w:rPr>
                <w:rFonts w:ascii="Times New Roman" w:hAnsi="Times New Roman" w:cs="Times New Roman"/>
                <w:sz w:val="16"/>
                <w:szCs w:val="16"/>
              </w:rPr>
            </w:pPr>
          </w:p>
          <w:p w14:paraId="0A7B874E" w14:textId="77777777" w:rsidR="005C3491" w:rsidRDefault="005C3491" w:rsidP="00C7364F">
            <w:pPr>
              <w:jc w:val="center"/>
              <w:rPr>
                <w:rFonts w:ascii="Times New Roman" w:hAnsi="Times New Roman" w:cs="Times New Roman"/>
                <w:sz w:val="16"/>
                <w:szCs w:val="16"/>
              </w:rPr>
            </w:pPr>
          </w:p>
          <w:p w14:paraId="4002679E" w14:textId="77777777" w:rsidR="005C3491" w:rsidRDefault="005C3491" w:rsidP="00C7364F">
            <w:pPr>
              <w:jc w:val="center"/>
              <w:rPr>
                <w:rFonts w:ascii="Times New Roman" w:hAnsi="Times New Roman" w:cs="Times New Roman"/>
                <w:sz w:val="16"/>
                <w:szCs w:val="16"/>
              </w:rPr>
            </w:pPr>
          </w:p>
          <w:p w14:paraId="374DFFA7" w14:textId="77777777" w:rsidR="005C3491" w:rsidRDefault="005C3491" w:rsidP="00C7364F">
            <w:pPr>
              <w:jc w:val="center"/>
              <w:rPr>
                <w:rFonts w:ascii="Times New Roman" w:hAnsi="Times New Roman" w:cs="Times New Roman"/>
                <w:sz w:val="16"/>
                <w:szCs w:val="16"/>
              </w:rPr>
            </w:pPr>
          </w:p>
          <w:p w14:paraId="465568AF" w14:textId="77777777" w:rsidR="005C3491" w:rsidRDefault="005C3491" w:rsidP="00C7364F">
            <w:pPr>
              <w:jc w:val="center"/>
              <w:rPr>
                <w:rFonts w:ascii="Times New Roman" w:hAnsi="Times New Roman" w:cs="Times New Roman"/>
                <w:sz w:val="16"/>
                <w:szCs w:val="16"/>
              </w:rPr>
            </w:pPr>
          </w:p>
          <w:p w14:paraId="559DD232" w14:textId="77777777" w:rsidR="005C3491" w:rsidRDefault="005C3491" w:rsidP="00C7364F">
            <w:pPr>
              <w:jc w:val="center"/>
              <w:rPr>
                <w:rFonts w:ascii="Times New Roman" w:hAnsi="Times New Roman" w:cs="Times New Roman"/>
                <w:sz w:val="16"/>
                <w:szCs w:val="16"/>
              </w:rPr>
            </w:pPr>
          </w:p>
          <w:p w14:paraId="2295B317" w14:textId="77777777" w:rsidR="005C3491" w:rsidRDefault="005C3491" w:rsidP="00C7364F">
            <w:pPr>
              <w:jc w:val="center"/>
              <w:rPr>
                <w:rFonts w:ascii="Times New Roman" w:hAnsi="Times New Roman" w:cs="Times New Roman"/>
                <w:sz w:val="16"/>
                <w:szCs w:val="16"/>
              </w:rPr>
            </w:pPr>
          </w:p>
          <w:p w14:paraId="6404348C" w14:textId="77777777" w:rsidR="005C3491" w:rsidRDefault="005C3491" w:rsidP="00C7364F">
            <w:pPr>
              <w:jc w:val="center"/>
              <w:rPr>
                <w:rFonts w:ascii="Times New Roman" w:hAnsi="Times New Roman" w:cs="Times New Roman"/>
                <w:sz w:val="16"/>
                <w:szCs w:val="16"/>
              </w:rPr>
            </w:pPr>
          </w:p>
          <w:p w14:paraId="1060CBBC" w14:textId="77777777" w:rsidR="005C3491" w:rsidRDefault="005C3491" w:rsidP="00C7364F">
            <w:pPr>
              <w:jc w:val="center"/>
              <w:rPr>
                <w:rFonts w:ascii="Times New Roman" w:hAnsi="Times New Roman" w:cs="Times New Roman"/>
                <w:sz w:val="16"/>
                <w:szCs w:val="16"/>
              </w:rPr>
            </w:pPr>
          </w:p>
          <w:p w14:paraId="6C749BD9" w14:textId="77777777" w:rsidR="005C3491" w:rsidRDefault="005C3491" w:rsidP="00C7364F">
            <w:pPr>
              <w:jc w:val="center"/>
              <w:rPr>
                <w:rFonts w:ascii="Times New Roman" w:hAnsi="Times New Roman" w:cs="Times New Roman"/>
                <w:sz w:val="16"/>
                <w:szCs w:val="16"/>
              </w:rPr>
            </w:pPr>
          </w:p>
          <w:p w14:paraId="508BC8A5" w14:textId="77777777" w:rsidR="005C3491" w:rsidRDefault="005C3491" w:rsidP="00C7364F">
            <w:pPr>
              <w:jc w:val="center"/>
              <w:rPr>
                <w:rFonts w:ascii="Times New Roman" w:hAnsi="Times New Roman" w:cs="Times New Roman"/>
                <w:sz w:val="16"/>
                <w:szCs w:val="16"/>
              </w:rPr>
            </w:pPr>
          </w:p>
          <w:p w14:paraId="14803D9D" w14:textId="0F27DCF9" w:rsidR="00C7364F" w:rsidRPr="00B12BC4" w:rsidRDefault="00C7364F" w:rsidP="00C7364F">
            <w:pPr>
              <w:jc w:val="center"/>
              <w:rPr>
                <w:rFonts w:ascii="Times New Roman" w:hAnsi="Times New Roman" w:cs="Times New Roman"/>
                <w:sz w:val="16"/>
                <w:szCs w:val="16"/>
              </w:rPr>
            </w:pPr>
            <w:r w:rsidRPr="00B12BC4">
              <w:rPr>
                <w:rFonts w:ascii="Times New Roman" w:hAnsi="Times New Roman" w:cs="Times New Roman"/>
                <w:sz w:val="16"/>
                <w:szCs w:val="16"/>
              </w:rPr>
              <w:t>Estudiantes de 9º con Nivel Avanzado o Satisfactorio en las Pruebas SABER</w:t>
            </w:r>
          </w:p>
        </w:tc>
        <w:tc>
          <w:tcPr>
            <w:tcW w:w="4551" w:type="dxa"/>
          </w:tcPr>
          <w:p w14:paraId="29EE52A7" w14:textId="77777777" w:rsidR="005C3491" w:rsidRDefault="005C3491" w:rsidP="00C7364F">
            <w:pPr>
              <w:jc w:val="center"/>
              <w:rPr>
                <w:rFonts w:ascii="Times New Roman" w:hAnsi="Times New Roman" w:cs="Times New Roman"/>
                <w:sz w:val="16"/>
                <w:szCs w:val="16"/>
              </w:rPr>
            </w:pPr>
          </w:p>
          <w:p w14:paraId="36E5A317" w14:textId="77777777" w:rsidR="005C3491" w:rsidRDefault="005C3491" w:rsidP="00C7364F">
            <w:pPr>
              <w:jc w:val="center"/>
              <w:rPr>
                <w:rFonts w:ascii="Times New Roman" w:hAnsi="Times New Roman" w:cs="Times New Roman"/>
                <w:sz w:val="16"/>
                <w:szCs w:val="16"/>
              </w:rPr>
            </w:pPr>
          </w:p>
          <w:p w14:paraId="22AE7BB4" w14:textId="77777777" w:rsidR="005C3491" w:rsidRDefault="005C3491" w:rsidP="00C7364F">
            <w:pPr>
              <w:jc w:val="center"/>
              <w:rPr>
                <w:rFonts w:ascii="Times New Roman" w:hAnsi="Times New Roman" w:cs="Times New Roman"/>
                <w:sz w:val="16"/>
                <w:szCs w:val="16"/>
              </w:rPr>
            </w:pPr>
          </w:p>
          <w:p w14:paraId="1D9D42AD" w14:textId="77777777" w:rsidR="005C3491" w:rsidRDefault="005C3491" w:rsidP="00C7364F">
            <w:pPr>
              <w:jc w:val="center"/>
              <w:rPr>
                <w:rFonts w:ascii="Times New Roman" w:hAnsi="Times New Roman" w:cs="Times New Roman"/>
                <w:sz w:val="16"/>
                <w:szCs w:val="16"/>
              </w:rPr>
            </w:pPr>
          </w:p>
          <w:p w14:paraId="3513AD6E" w14:textId="77777777" w:rsidR="005C3491" w:rsidRDefault="005C3491" w:rsidP="00C7364F">
            <w:pPr>
              <w:jc w:val="center"/>
              <w:rPr>
                <w:rFonts w:ascii="Times New Roman" w:hAnsi="Times New Roman" w:cs="Times New Roman"/>
                <w:sz w:val="16"/>
                <w:szCs w:val="16"/>
              </w:rPr>
            </w:pPr>
          </w:p>
          <w:p w14:paraId="4EF132D8" w14:textId="77777777" w:rsidR="005C3491" w:rsidRDefault="005C3491" w:rsidP="00C7364F">
            <w:pPr>
              <w:jc w:val="center"/>
              <w:rPr>
                <w:rFonts w:ascii="Times New Roman" w:hAnsi="Times New Roman" w:cs="Times New Roman"/>
                <w:sz w:val="16"/>
                <w:szCs w:val="16"/>
              </w:rPr>
            </w:pPr>
          </w:p>
          <w:p w14:paraId="1638792A" w14:textId="77777777" w:rsidR="005C3491" w:rsidRDefault="005C3491" w:rsidP="00C7364F">
            <w:pPr>
              <w:jc w:val="center"/>
              <w:rPr>
                <w:rFonts w:ascii="Times New Roman" w:hAnsi="Times New Roman" w:cs="Times New Roman"/>
                <w:sz w:val="16"/>
                <w:szCs w:val="16"/>
              </w:rPr>
            </w:pPr>
          </w:p>
          <w:p w14:paraId="0F8CFAEE" w14:textId="77777777" w:rsidR="005C3491" w:rsidRDefault="005C3491" w:rsidP="00C7364F">
            <w:pPr>
              <w:jc w:val="center"/>
              <w:rPr>
                <w:rFonts w:ascii="Times New Roman" w:hAnsi="Times New Roman" w:cs="Times New Roman"/>
                <w:sz w:val="16"/>
                <w:szCs w:val="16"/>
              </w:rPr>
            </w:pPr>
          </w:p>
          <w:p w14:paraId="2E83388E" w14:textId="77777777" w:rsidR="005C3491" w:rsidRDefault="005C3491" w:rsidP="00C7364F">
            <w:pPr>
              <w:jc w:val="center"/>
              <w:rPr>
                <w:rFonts w:ascii="Times New Roman" w:hAnsi="Times New Roman" w:cs="Times New Roman"/>
                <w:sz w:val="16"/>
                <w:szCs w:val="16"/>
              </w:rPr>
            </w:pPr>
          </w:p>
          <w:p w14:paraId="7B1D6CFC" w14:textId="77777777" w:rsidR="005C3491" w:rsidRDefault="005C3491" w:rsidP="00C7364F">
            <w:pPr>
              <w:jc w:val="center"/>
              <w:rPr>
                <w:rFonts w:ascii="Times New Roman" w:hAnsi="Times New Roman" w:cs="Times New Roman"/>
                <w:sz w:val="16"/>
                <w:szCs w:val="16"/>
              </w:rPr>
            </w:pPr>
          </w:p>
          <w:p w14:paraId="32EAF1BD" w14:textId="77777777" w:rsidR="005C3491" w:rsidRDefault="005C3491" w:rsidP="00C7364F">
            <w:pPr>
              <w:jc w:val="center"/>
              <w:rPr>
                <w:rFonts w:ascii="Times New Roman" w:hAnsi="Times New Roman" w:cs="Times New Roman"/>
                <w:sz w:val="16"/>
                <w:szCs w:val="16"/>
              </w:rPr>
            </w:pPr>
          </w:p>
          <w:p w14:paraId="7A48B29A" w14:textId="77777777" w:rsidR="005C3491" w:rsidRDefault="005C3491" w:rsidP="00C7364F">
            <w:pPr>
              <w:jc w:val="center"/>
              <w:rPr>
                <w:rFonts w:ascii="Times New Roman" w:hAnsi="Times New Roman" w:cs="Times New Roman"/>
                <w:sz w:val="16"/>
                <w:szCs w:val="16"/>
              </w:rPr>
            </w:pPr>
          </w:p>
          <w:p w14:paraId="16C8780B" w14:textId="2F550984" w:rsidR="00C7364F" w:rsidRPr="00B12BC4" w:rsidRDefault="00C7364F" w:rsidP="00C7364F">
            <w:pPr>
              <w:jc w:val="center"/>
              <w:rPr>
                <w:rFonts w:ascii="Times New Roman" w:hAnsi="Times New Roman" w:cs="Times New Roman"/>
              </w:rPr>
            </w:pPr>
            <w:r w:rsidRPr="00B12BC4">
              <w:rPr>
                <w:rFonts w:ascii="Times New Roman" w:hAnsi="Times New Roman" w:cs="Times New Roman"/>
                <w:sz w:val="16"/>
                <w:szCs w:val="16"/>
              </w:rPr>
              <w:t>Estudiantes de 5º con Nivel Avanzado o Satisfactorio en las Pruebas SABER</w:t>
            </w:r>
          </w:p>
        </w:tc>
      </w:tr>
      <w:tr w:rsidR="00C7364F" w:rsidRPr="00B12BC4" w14:paraId="564EB5C4" w14:textId="77777777" w:rsidTr="00320FD8">
        <w:trPr>
          <w:trHeight w:val="2608"/>
        </w:trPr>
        <w:tc>
          <w:tcPr>
            <w:tcW w:w="4503" w:type="dxa"/>
          </w:tcPr>
          <w:p w14:paraId="049731A6" w14:textId="7FBCBBC4" w:rsidR="00C7364F" w:rsidRPr="00B12BC4" w:rsidRDefault="00C7364F" w:rsidP="00DB3FF8">
            <w:pPr>
              <w:jc w:val="both"/>
              <w:rPr>
                <w:rFonts w:ascii="Times New Roman" w:hAnsi="Times New Roman" w:cs="Times New Roman"/>
              </w:rPr>
            </w:pPr>
            <w:r w:rsidRPr="00B12BC4">
              <w:rPr>
                <w:rFonts w:ascii="Times New Roman" w:hAnsi="Times New Roman" w:cs="Times New Roman"/>
                <w:noProof/>
                <w:lang w:eastAsia="es-ES_tradnl"/>
              </w:rPr>
              <w:lastRenderedPageBreak/>
              <w:drawing>
                <wp:inline distT="0" distB="0" distL="0" distR="0" wp14:anchorId="067C5CB8" wp14:editId="3163C0C5">
                  <wp:extent cx="2880000" cy="18000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551" w:type="dxa"/>
          </w:tcPr>
          <w:p w14:paraId="37586CB2" w14:textId="64F32796" w:rsidR="00C7364F" w:rsidRPr="00B12BC4" w:rsidRDefault="00C7364F" w:rsidP="00DB3FF8">
            <w:pPr>
              <w:jc w:val="both"/>
              <w:rPr>
                <w:rFonts w:ascii="Times New Roman" w:hAnsi="Times New Roman" w:cs="Times New Roman"/>
              </w:rPr>
            </w:pPr>
            <w:r w:rsidRPr="00B12BC4">
              <w:rPr>
                <w:rFonts w:ascii="Times New Roman" w:hAnsi="Times New Roman" w:cs="Times New Roman"/>
                <w:noProof/>
                <w:lang w:eastAsia="es-ES_tradnl"/>
              </w:rPr>
              <w:drawing>
                <wp:inline distT="0" distB="0" distL="0" distR="0" wp14:anchorId="5F4281F4" wp14:editId="6BC17796">
                  <wp:extent cx="2762250" cy="179705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009996DC" w14:textId="77777777" w:rsidR="00A35909" w:rsidRPr="0001666B" w:rsidRDefault="00A35909" w:rsidP="00884DBB">
      <w:pPr>
        <w:jc w:val="both"/>
        <w:rPr>
          <w:rFonts w:ascii="Times New Roman" w:hAnsi="Times New Roman" w:cs="Times New Roman"/>
          <w:sz w:val="16"/>
          <w:szCs w:val="16"/>
        </w:rPr>
      </w:pPr>
    </w:p>
    <w:p w14:paraId="2E4FF7D0" w14:textId="0A49CD9F" w:rsidR="00B31675" w:rsidRPr="0001666B" w:rsidRDefault="00B31675" w:rsidP="00B31675">
      <w:pPr>
        <w:jc w:val="center"/>
        <w:rPr>
          <w:rFonts w:ascii="Times New Roman" w:hAnsi="Times New Roman" w:cs="Times New Roman"/>
          <w:sz w:val="16"/>
          <w:szCs w:val="16"/>
        </w:rPr>
      </w:pPr>
      <w:r w:rsidRPr="0001666B">
        <w:rPr>
          <w:rFonts w:ascii="Times New Roman" w:hAnsi="Times New Roman" w:cs="Times New Roman"/>
          <w:b/>
          <w:sz w:val="16"/>
          <w:szCs w:val="16"/>
        </w:rPr>
        <w:t>Fuente:</w:t>
      </w:r>
      <w:r w:rsidRPr="0001666B">
        <w:rPr>
          <w:rFonts w:ascii="Times New Roman" w:hAnsi="Times New Roman" w:cs="Times New Roman"/>
          <w:sz w:val="16"/>
          <w:szCs w:val="16"/>
        </w:rPr>
        <w:t xml:space="preserve"> Secretaria Distrital de Santa Marta y Ministerio de Educación Nacional</w:t>
      </w:r>
    </w:p>
    <w:p w14:paraId="4C61F90B" w14:textId="77777777" w:rsidR="00B31675" w:rsidRPr="00B12BC4" w:rsidRDefault="00B31675" w:rsidP="00884DBB">
      <w:pPr>
        <w:jc w:val="both"/>
        <w:rPr>
          <w:rFonts w:ascii="Times New Roman" w:hAnsi="Times New Roman" w:cs="Times New Roman"/>
        </w:rPr>
      </w:pPr>
    </w:p>
    <w:p w14:paraId="1BB40B8D" w14:textId="610E07A3" w:rsidR="00884DBB" w:rsidRPr="00B12BC4" w:rsidRDefault="00360192" w:rsidP="005C532C">
      <w:pPr>
        <w:pStyle w:val="Prrafodelista"/>
        <w:numPr>
          <w:ilvl w:val="0"/>
          <w:numId w:val="26"/>
        </w:numPr>
        <w:jc w:val="both"/>
        <w:rPr>
          <w:rFonts w:ascii="Times New Roman" w:hAnsi="Times New Roman" w:cs="Times New Roman"/>
          <w:b/>
        </w:rPr>
      </w:pPr>
      <w:r>
        <w:rPr>
          <w:rFonts w:ascii="Times New Roman" w:hAnsi="Times New Roman" w:cs="Times New Roman"/>
          <w:b/>
        </w:rPr>
        <w:t>Seguridad en La Perla, no perder el terreno ganado</w:t>
      </w:r>
      <w:r w:rsidR="005C532C" w:rsidRPr="00B12BC4">
        <w:rPr>
          <w:rFonts w:ascii="Times New Roman" w:hAnsi="Times New Roman" w:cs="Times New Roman"/>
          <w:b/>
        </w:rPr>
        <w:t xml:space="preserve">. </w:t>
      </w:r>
    </w:p>
    <w:p w14:paraId="1EF4F801" w14:textId="77777777" w:rsidR="005C532C" w:rsidRPr="00B12BC4" w:rsidRDefault="005C532C" w:rsidP="005C532C">
      <w:pPr>
        <w:jc w:val="both"/>
        <w:rPr>
          <w:rFonts w:ascii="Times New Roman" w:hAnsi="Times New Roman" w:cs="Times New Roman"/>
          <w:b/>
        </w:rPr>
      </w:pPr>
    </w:p>
    <w:p w14:paraId="29E8E397" w14:textId="64D5426A" w:rsidR="00B12BC4" w:rsidRPr="00B12BC4" w:rsidRDefault="005C532C" w:rsidP="005C532C">
      <w:pPr>
        <w:jc w:val="both"/>
        <w:rPr>
          <w:rFonts w:ascii="Times New Roman" w:hAnsi="Times New Roman" w:cs="Times New Roman"/>
        </w:rPr>
      </w:pPr>
      <w:r w:rsidRPr="00B12BC4">
        <w:rPr>
          <w:rFonts w:ascii="Times New Roman" w:hAnsi="Times New Roman" w:cs="Times New Roman"/>
        </w:rPr>
        <w:t>En materia de seguridad, el Distrito de Santa Marta ha podido avanzar de manera significativa en diferentes aspectos, como son los homicidios, posesionándose con la tasa de homicidio más baja de las ciudades de la Red Cómo Vamos y logrando reducir en más del</w:t>
      </w:r>
      <w:r w:rsidR="009D2079">
        <w:rPr>
          <w:rFonts w:ascii="Times New Roman" w:hAnsi="Times New Roman" w:cs="Times New Roman"/>
        </w:rPr>
        <w:t xml:space="preserve"> 50% los casos entre 2012 y 2015</w:t>
      </w:r>
      <w:r w:rsidRPr="00B12BC4">
        <w:rPr>
          <w:rFonts w:ascii="Times New Roman" w:hAnsi="Times New Roman" w:cs="Times New Roman"/>
        </w:rPr>
        <w:t>.</w:t>
      </w:r>
      <w:r w:rsidR="00205593" w:rsidRPr="00B12BC4">
        <w:rPr>
          <w:rFonts w:ascii="Times New Roman" w:hAnsi="Times New Roman" w:cs="Times New Roman"/>
        </w:rPr>
        <w:t xml:space="preserve"> </w:t>
      </w:r>
      <w:r w:rsidR="009D2079">
        <w:rPr>
          <w:rFonts w:ascii="Times New Roman" w:hAnsi="Times New Roman" w:cs="Times New Roman"/>
        </w:rPr>
        <w:t xml:space="preserve">No </w:t>
      </w:r>
      <w:r w:rsidR="00564F11">
        <w:rPr>
          <w:rFonts w:ascii="Times New Roman" w:hAnsi="Times New Roman" w:cs="Times New Roman"/>
        </w:rPr>
        <w:t>obstante,</w:t>
      </w:r>
      <w:r w:rsidR="009D2079">
        <w:rPr>
          <w:rFonts w:ascii="Times New Roman" w:hAnsi="Times New Roman" w:cs="Times New Roman"/>
        </w:rPr>
        <w:t xml:space="preserve"> la reducción sustancial de homicidios, y a que estamos lejos de las tasas de hace 5 años, en 2016 hubo un repunte en el número de casos de homicidios en la ciudad que prende las alarmas para contener cualquier desvío de la tendencia de disminución que se ha venido observando. </w:t>
      </w:r>
    </w:p>
    <w:p w14:paraId="6E4D7A35" w14:textId="77777777" w:rsidR="00B12BC4" w:rsidRPr="00B12BC4" w:rsidRDefault="00B12BC4" w:rsidP="005C532C">
      <w:pPr>
        <w:jc w:val="both"/>
        <w:rPr>
          <w:rFonts w:ascii="Times New Roman" w:hAnsi="Times New Roman" w:cs="Times New Roman"/>
        </w:rPr>
      </w:pPr>
    </w:p>
    <w:p w14:paraId="1CAD7AFD" w14:textId="684BB010" w:rsidR="005577A3" w:rsidRDefault="00205593" w:rsidP="005577A3">
      <w:pPr>
        <w:jc w:val="both"/>
        <w:rPr>
          <w:rFonts w:ascii="Times New Roman" w:hAnsi="Times New Roman" w:cs="Times New Roman"/>
        </w:rPr>
      </w:pPr>
      <w:r w:rsidRPr="00B12BC4">
        <w:rPr>
          <w:rFonts w:ascii="Times New Roman" w:hAnsi="Times New Roman" w:cs="Times New Roman"/>
        </w:rPr>
        <w:t xml:space="preserve">Ahora, los hurtos </w:t>
      </w:r>
      <w:r w:rsidR="0076172F">
        <w:rPr>
          <w:rFonts w:ascii="Times New Roman" w:hAnsi="Times New Roman" w:cs="Times New Roman"/>
        </w:rPr>
        <w:t xml:space="preserve">son </w:t>
      </w:r>
      <w:r w:rsidRPr="00B12BC4">
        <w:rPr>
          <w:rFonts w:ascii="Times New Roman" w:hAnsi="Times New Roman" w:cs="Times New Roman"/>
        </w:rPr>
        <w:t>el fenómeno de mayor impacto y percepción dentro de la población, no arrojan los mejores resultados. La tasa de hurto</w:t>
      </w:r>
      <w:r w:rsidR="00B12BC4" w:rsidRPr="00B12BC4">
        <w:rPr>
          <w:rFonts w:ascii="Times New Roman" w:hAnsi="Times New Roman" w:cs="Times New Roman"/>
        </w:rPr>
        <w:t xml:space="preserve"> a</w:t>
      </w:r>
      <w:r w:rsidR="00B12BC4">
        <w:rPr>
          <w:rFonts w:ascii="Times New Roman" w:hAnsi="Times New Roman" w:cs="Times New Roman"/>
        </w:rPr>
        <w:t xml:space="preserve"> persona se incrementó en 61% de 2016 con respecto a 2012; para el mismo periodo la de celulares aumentó en 128%, residencias en 32%</w:t>
      </w:r>
      <w:r w:rsidR="005577A3">
        <w:rPr>
          <w:rFonts w:ascii="Times New Roman" w:hAnsi="Times New Roman" w:cs="Times New Roman"/>
        </w:rPr>
        <w:t xml:space="preserve"> siendo estos los más críticos. Esta situación se ha visto reflejada en la percepción de seguridad, el 44% de los samarios se sentían inseguros en su barrio para el 2016.</w:t>
      </w:r>
    </w:p>
    <w:p w14:paraId="5478AA7D" w14:textId="77777777" w:rsidR="005577A3" w:rsidRDefault="005577A3" w:rsidP="005577A3">
      <w:pPr>
        <w:jc w:val="both"/>
        <w:rPr>
          <w:rFonts w:ascii="Times New Roman" w:hAnsi="Times New Roman" w:cs="Times New Roman"/>
        </w:rPr>
      </w:pPr>
    </w:p>
    <w:p w14:paraId="102151E1" w14:textId="54FED486" w:rsidR="005C532C" w:rsidRPr="00B31675" w:rsidRDefault="005577A3" w:rsidP="005577A3">
      <w:pPr>
        <w:jc w:val="center"/>
        <w:rPr>
          <w:rFonts w:ascii="Times New Roman" w:hAnsi="Times New Roman" w:cs="Times New Roman"/>
          <w:sz w:val="20"/>
          <w:szCs w:val="20"/>
          <w:lang w:val="es-CO"/>
        </w:rPr>
      </w:pPr>
      <w:r w:rsidRPr="00B31675">
        <w:rPr>
          <w:rFonts w:ascii="Times New Roman" w:hAnsi="Times New Roman" w:cs="Times New Roman"/>
          <w:b/>
          <w:bCs/>
          <w:sz w:val="20"/>
          <w:szCs w:val="20"/>
          <w:lang w:val="en-US"/>
        </w:rPr>
        <w:t>Tasa de Homicidios por cada 100 mil habitantes</w:t>
      </w:r>
      <w:r w:rsidR="00B31675" w:rsidRPr="00B31675">
        <w:rPr>
          <w:rFonts w:ascii="Times New Roman" w:hAnsi="Times New Roman" w:cs="Times New Roman"/>
          <w:b/>
          <w:bCs/>
          <w:sz w:val="20"/>
          <w:szCs w:val="20"/>
          <w:lang w:val="en-US"/>
        </w:rPr>
        <w:t xml:space="preserve"> d</w:t>
      </w:r>
      <w:r w:rsidR="00B31675">
        <w:rPr>
          <w:rFonts w:ascii="Times New Roman" w:hAnsi="Times New Roman" w:cs="Times New Roman"/>
          <w:b/>
          <w:bCs/>
          <w:sz w:val="20"/>
          <w:szCs w:val="20"/>
          <w:lang w:val="en-US"/>
        </w:rPr>
        <w:t xml:space="preserve">e </w:t>
      </w:r>
      <w:r w:rsidR="00B31675" w:rsidRPr="00B31675">
        <w:rPr>
          <w:rFonts w:ascii="Times New Roman" w:hAnsi="Times New Roman" w:cs="Times New Roman"/>
          <w:b/>
          <w:bCs/>
          <w:sz w:val="20"/>
          <w:szCs w:val="20"/>
          <w:lang w:val="en-US"/>
        </w:rPr>
        <w:t xml:space="preserve">el Distrito de Santa Marta 2016. </w:t>
      </w:r>
    </w:p>
    <w:p w14:paraId="3462690F" w14:textId="4DE5451D" w:rsidR="005577A3" w:rsidRDefault="005577A3" w:rsidP="00B31675">
      <w:pPr>
        <w:jc w:val="center"/>
        <w:rPr>
          <w:rFonts w:ascii="Times New Roman" w:hAnsi="Times New Roman" w:cs="Times New Roman"/>
        </w:rPr>
      </w:pPr>
      <w:r>
        <w:rPr>
          <w:rFonts w:ascii="Times New Roman" w:hAnsi="Times New Roman" w:cs="Times New Roman"/>
          <w:noProof/>
          <w:lang w:eastAsia="es-ES_tradnl"/>
        </w:rPr>
        <w:drawing>
          <wp:inline distT="0" distB="0" distL="0" distR="0" wp14:anchorId="6F9948FE" wp14:editId="397C2208">
            <wp:extent cx="4320000" cy="1800000"/>
            <wp:effectExtent l="0" t="0" r="4445"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416DF5B" w14:textId="5F19BEAE" w:rsidR="0001666B" w:rsidRDefault="0001666B" w:rsidP="00B31675">
      <w:pPr>
        <w:jc w:val="center"/>
        <w:rPr>
          <w:rFonts w:ascii="Times New Roman" w:hAnsi="Times New Roman" w:cs="Times New Roman"/>
          <w:sz w:val="16"/>
          <w:szCs w:val="16"/>
        </w:rPr>
      </w:pPr>
      <w:r w:rsidRPr="0001666B">
        <w:rPr>
          <w:rFonts w:ascii="Times New Roman" w:hAnsi="Times New Roman" w:cs="Times New Roman"/>
          <w:b/>
          <w:sz w:val="16"/>
          <w:szCs w:val="16"/>
        </w:rPr>
        <w:t>Fuente:</w:t>
      </w:r>
      <w:r w:rsidRPr="0001666B">
        <w:rPr>
          <w:rFonts w:ascii="Times New Roman" w:hAnsi="Times New Roman" w:cs="Times New Roman"/>
          <w:sz w:val="16"/>
          <w:szCs w:val="16"/>
        </w:rPr>
        <w:t xml:space="preserve"> Observatorio de Seguridad y Convivencia </w:t>
      </w:r>
      <w:r w:rsidR="00B2594D">
        <w:rPr>
          <w:rFonts w:ascii="Times New Roman" w:hAnsi="Times New Roman" w:cs="Times New Roman"/>
          <w:sz w:val="16"/>
          <w:szCs w:val="16"/>
        </w:rPr>
        <w:t xml:space="preserve">Ciudadana </w:t>
      </w:r>
      <w:r w:rsidRPr="0001666B">
        <w:rPr>
          <w:rFonts w:ascii="Times New Roman" w:hAnsi="Times New Roman" w:cs="Times New Roman"/>
          <w:sz w:val="16"/>
          <w:szCs w:val="16"/>
        </w:rPr>
        <w:t>del Distrito de Santa Marta</w:t>
      </w:r>
    </w:p>
    <w:p w14:paraId="4EBC9AAF" w14:textId="77777777" w:rsidR="0001666B" w:rsidRDefault="0001666B" w:rsidP="00B31675">
      <w:pPr>
        <w:jc w:val="center"/>
        <w:rPr>
          <w:rFonts w:ascii="Times New Roman" w:hAnsi="Times New Roman" w:cs="Times New Roman"/>
          <w:sz w:val="16"/>
          <w:szCs w:val="16"/>
        </w:rPr>
      </w:pPr>
    </w:p>
    <w:p w14:paraId="6137D385" w14:textId="77777777" w:rsidR="0001666B" w:rsidRDefault="0001666B" w:rsidP="0001666B">
      <w:pPr>
        <w:jc w:val="both"/>
        <w:rPr>
          <w:rFonts w:ascii="Times New Roman" w:hAnsi="Times New Roman" w:cs="Times New Roman"/>
          <w:b/>
        </w:rPr>
      </w:pPr>
    </w:p>
    <w:p w14:paraId="6C501E9C" w14:textId="63165A88" w:rsidR="00C90034" w:rsidRDefault="00713962" w:rsidP="00C90034">
      <w:pPr>
        <w:pStyle w:val="Prrafodelista"/>
        <w:numPr>
          <w:ilvl w:val="0"/>
          <w:numId w:val="26"/>
        </w:numPr>
        <w:jc w:val="both"/>
        <w:rPr>
          <w:rFonts w:ascii="Times New Roman" w:hAnsi="Times New Roman" w:cs="Times New Roman"/>
          <w:b/>
        </w:rPr>
      </w:pPr>
      <w:r>
        <w:rPr>
          <w:rFonts w:ascii="Times New Roman" w:hAnsi="Times New Roman" w:cs="Times New Roman"/>
          <w:b/>
        </w:rPr>
        <w:t xml:space="preserve">Más y Mejores Trabajos para el Buen Vivir. </w:t>
      </w:r>
    </w:p>
    <w:p w14:paraId="1C75D1DB" w14:textId="77777777" w:rsidR="00C90034" w:rsidRDefault="00C90034" w:rsidP="00C90034">
      <w:pPr>
        <w:jc w:val="both"/>
        <w:rPr>
          <w:rFonts w:ascii="Times New Roman" w:hAnsi="Times New Roman" w:cs="Times New Roman"/>
          <w:b/>
        </w:rPr>
      </w:pPr>
    </w:p>
    <w:p w14:paraId="4FB60AC1" w14:textId="58B29281" w:rsidR="00C90034" w:rsidRDefault="00C90034" w:rsidP="00C90034">
      <w:pPr>
        <w:jc w:val="both"/>
        <w:rPr>
          <w:rFonts w:ascii="Times New Roman" w:hAnsi="Times New Roman" w:cs="Times New Roman"/>
        </w:rPr>
      </w:pPr>
      <w:r w:rsidRPr="00C90034">
        <w:rPr>
          <w:rFonts w:ascii="Times New Roman" w:hAnsi="Times New Roman" w:cs="Times New Roman"/>
        </w:rPr>
        <w:t>En cuanto al mercado de trabajo, el Distrito de Santa Marta se ha posicionado en los primeros lugares entre la</w:t>
      </w:r>
      <w:r w:rsidR="00597921">
        <w:rPr>
          <w:rFonts w:ascii="Times New Roman" w:hAnsi="Times New Roman" w:cs="Times New Roman"/>
        </w:rPr>
        <w:t xml:space="preserve">s ciudades con menos desempleo dentro de la Región Caribe y a nivel de país, para 2016 la Tasa de Desempleo en la Ciudad fue de 9,5%. </w:t>
      </w:r>
      <w:r w:rsidR="00775C21">
        <w:rPr>
          <w:rFonts w:ascii="Times New Roman" w:hAnsi="Times New Roman" w:cs="Times New Roman"/>
        </w:rPr>
        <w:t xml:space="preserve">Por nivel </w:t>
      </w:r>
      <w:r w:rsidR="00713962">
        <w:rPr>
          <w:rFonts w:ascii="Times New Roman" w:hAnsi="Times New Roman" w:cs="Times New Roman"/>
        </w:rPr>
        <w:lastRenderedPageBreak/>
        <w:t xml:space="preserve">educativo, </w:t>
      </w:r>
      <w:proofErr w:type="gramStart"/>
      <w:r w:rsidR="00713962">
        <w:rPr>
          <w:rFonts w:ascii="Times New Roman" w:hAnsi="Times New Roman" w:cs="Times New Roman"/>
        </w:rPr>
        <w:t xml:space="preserve">la categoría </w:t>
      </w:r>
      <w:r w:rsidR="00775C21">
        <w:rPr>
          <w:rFonts w:ascii="Times New Roman" w:hAnsi="Times New Roman" w:cs="Times New Roman"/>
        </w:rPr>
        <w:t>de población con mayor desempleo son</w:t>
      </w:r>
      <w:proofErr w:type="gramEnd"/>
      <w:r w:rsidR="00775C21">
        <w:rPr>
          <w:rFonts w:ascii="Times New Roman" w:hAnsi="Times New Roman" w:cs="Times New Roman"/>
        </w:rPr>
        <w:t xml:space="preserve"> aquellas que cuentan con </w:t>
      </w:r>
      <w:r w:rsidR="00617476">
        <w:rPr>
          <w:rFonts w:ascii="Times New Roman" w:hAnsi="Times New Roman" w:cs="Times New Roman"/>
        </w:rPr>
        <w:t>superior o universitaria; por rangos de edad, son los jóvenes entre 18 y 28 años; y por sexo, la tasa más alta la presentan las mujeres.</w:t>
      </w:r>
      <w:r w:rsidR="00D60F5A">
        <w:rPr>
          <w:rFonts w:ascii="Times New Roman" w:hAnsi="Times New Roman" w:cs="Times New Roman"/>
        </w:rPr>
        <w:t xml:space="preserve"> Por el lado de los salarios, los ocupados ganaban en promedio </w:t>
      </w:r>
      <w:r w:rsidR="006B4F08">
        <w:rPr>
          <w:rFonts w:ascii="Times New Roman" w:hAnsi="Times New Roman" w:cs="Times New Roman"/>
        </w:rPr>
        <w:t>$</w:t>
      </w:r>
      <w:r w:rsidR="00D60F5A" w:rsidRPr="00D60F5A">
        <w:rPr>
          <w:rFonts w:ascii="Times New Roman" w:hAnsi="Times New Roman" w:cs="Times New Roman"/>
        </w:rPr>
        <w:t>960</w:t>
      </w:r>
      <w:r w:rsidR="006B4F08">
        <w:rPr>
          <w:rFonts w:ascii="Times New Roman" w:hAnsi="Times New Roman" w:cs="Times New Roman"/>
        </w:rPr>
        <w:t>.</w:t>
      </w:r>
      <w:r w:rsidR="00D60F5A" w:rsidRPr="00D60F5A">
        <w:rPr>
          <w:rFonts w:ascii="Times New Roman" w:hAnsi="Times New Roman" w:cs="Times New Roman"/>
        </w:rPr>
        <w:t>142</w:t>
      </w:r>
      <w:r w:rsidR="00B339BB">
        <w:rPr>
          <w:rFonts w:ascii="Times New Roman" w:hAnsi="Times New Roman" w:cs="Times New Roman"/>
        </w:rPr>
        <w:t xml:space="preserve">, unos de los ingresos más bajos de todo el país. </w:t>
      </w:r>
    </w:p>
    <w:p w14:paraId="65A956B2" w14:textId="77777777" w:rsidR="003C29A1" w:rsidRDefault="003C29A1" w:rsidP="00C90034">
      <w:pPr>
        <w:jc w:val="both"/>
        <w:rPr>
          <w:rFonts w:ascii="Times New Roman" w:hAnsi="Times New Roman" w:cs="Times New Roman"/>
        </w:rPr>
      </w:pPr>
    </w:p>
    <w:p w14:paraId="17D824B2" w14:textId="1C5E8ED3" w:rsidR="009927AB" w:rsidRPr="00752E0A" w:rsidRDefault="003C29A1" w:rsidP="003C29A1">
      <w:pPr>
        <w:jc w:val="center"/>
        <w:rPr>
          <w:b/>
          <w:sz w:val="20"/>
          <w:szCs w:val="20"/>
          <w:lang w:val="es-CO"/>
        </w:rPr>
      </w:pPr>
      <w:r w:rsidRPr="00752E0A">
        <w:rPr>
          <w:b/>
          <w:sz w:val="20"/>
          <w:szCs w:val="20"/>
          <w:lang w:val="es-CO"/>
        </w:rPr>
        <w:t>Tasa de Desempleo del Distrito de Santa Marta</w:t>
      </w:r>
    </w:p>
    <w:p w14:paraId="5A047BEE" w14:textId="7A7037EE" w:rsidR="009927AB" w:rsidRDefault="009927AB" w:rsidP="009927AB">
      <w:pPr>
        <w:jc w:val="center"/>
        <w:rPr>
          <w:rFonts w:ascii="Times New Roman" w:hAnsi="Times New Roman" w:cs="Times New Roman"/>
        </w:rPr>
      </w:pPr>
      <w:r w:rsidRPr="009927AB">
        <w:rPr>
          <w:rFonts w:ascii="Times New Roman" w:hAnsi="Times New Roman" w:cs="Times New Roman"/>
          <w:noProof/>
          <w:lang w:eastAsia="es-ES_tradnl"/>
        </w:rPr>
        <w:drawing>
          <wp:inline distT="0" distB="0" distL="0" distR="0" wp14:anchorId="3E1EA451" wp14:editId="551C51D6">
            <wp:extent cx="5400000" cy="18000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8AA670" w14:textId="77F74F47" w:rsidR="003C29A1" w:rsidRPr="003C29A1" w:rsidRDefault="003C29A1" w:rsidP="003C29A1">
      <w:pPr>
        <w:jc w:val="center"/>
        <w:rPr>
          <w:rFonts w:ascii="Times New Roman" w:hAnsi="Times New Roman" w:cs="Times New Roman"/>
          <w:sz w:val="16"/>
          <w:szCs w:val="16"/>
        </w:rPr>
      </w:pPr>
      <w:r w:rsidRPr="00AE2C40">
        <w:rPr>
          <w:rFonts w:ascii="Times New Roman" w:hAnsi="Times New Roman" w:cs="Times New Roman"/>
          <w:sz w:val="16"/>
          <w:szCs w:val="16"/>
        </w:rPr>
        <w:t>Fuente: Departamento Administrativo Nacional de Estadística – DANE</w:t>
      </w:r>
    </w:p>
    <w:p w14:paraId="66D13562" w14:textId="77777777" w:rsidR="00C90034" w:rsidRDefault="00C90034" w:rsidP="00C90034">
      <w:pPr>
        <w:jc w:val="both"/>
        <w:rPr>
          <w:rFonts w:ascii="Times New Roman" w:hAnsi="Times New Roman" w:cs="Times New Roman"/>
          <w:b/>
        </w:rPr>
      </w:pPr>
    </w:p>
    <w:p w14:paraId="018BDD4E" w14:textId="55AB4AAF" w:rsidR="00F76020" w:rsidRPr="00F76020" w:rsidRDefault="00F76020" w:rsidP="00C90034">
      <w:pPr>
        <w:jc w:val="both"/>
        <w:rPr>
          <w:rFonts w:ascii="Times New Roman" w:hAnsi="Times New Roman" w:cs="Times New Roman"/>
        </w:rPr>
      </w:pPr>
      <w:r w:rsidRPr="00F76020">
        <w:rPr>
          <w:rFonts w:ascii="Times New Roman" w:hAnsi="Times New Roman" w:cs="Times New Roman"/>
        </w:rPr>
        <w:t xml:space="preserve">En cuanto a la tasa se informalidad, el Distrito tiene </w:t>
      </w:r>
      <w:proofErr w:type="gramStart"/>
      <w:r w:rsidRPr="00F76020">
        <w:rPr>
          <w:rFonts w:ascii="Times New Roman" w:hAnsi="Times New Roman" w:cs="Times New Roman"/>
        </w:rPr>
        <w:t>serio</w:t>
      </w:r>
      <w:r w:rsidR="00713962">
        <w:rPr>
          <w:rFonts w:ascii="Times New Roman" w:hAnsi="Times New Roman" w:cs="Times New Roman"/>
        </w:rPr>
        <w:t xml:space="preserve">s </w:t>
      </w:r>
      <w:r w:rsidRPr="00F76020">
        <w:rPr>
          <w:rFonts w:ascii="Times New Roman" w:hAnsi="Times New Roman" w:cs="Times New Roman"/>
        </w:rPr>
        <w:t xml:space="preserve"> problemas</w:t>
      </w:r>
      <w:proofErr w:type="gramEnd"/>
      <w:r w:rsidRPr="00F76020">
        <w:rPr>
          <w:rFonts w:ascii="Times New Roman" w:hAnsi="Times New Roman" w:cs="Times New Roman"/>
        </w:rPr>
        <w:t xml:space="preserve"> en est</w:t>
      </w:r>
      <w:r>
        <w:rPr>
          <w:rFonts w:ascii="Times New Roman" w:hAnsi="Times New Roman" w:cs="Times New Roman"/>
        </w:rPr>
        <w:t xml:space="preserve">e sentido; desde 2012 hasta 2014 la informalidad laboral entro en un crecimiento continuo, luego en 2015 y 2016 ha disminuido, pero siempre se ha mantenido por encima del 60%. </w:t>
      </w:r>
    </w:p>
    <w:p w14:paraId="3F5C5296" w14:textId="77777777" w:rsidR="00F76020" w:rsidRDefault="00F76020" w:rsidP="00C90034">
      <w:pPr>
        <w:jc w:val="both"/>
        <w:rPr>
          <w:rFonts w:ascii="Times New Roman" w:hAnsi="Times New Roman" w:cs="Times New Roman"/>
          <w:b/>
        </w:rPr>
      </w:pPr>
    </w:p>
    <w:p w14:paraId="6F7029AE" w14:textId="135C1B2E" w:rsidR="006821AA" w:rsidRPr="006821AA" w:rsidRDefault="006821AA" w:rsidP="006821AA">
      <w:pPr>
        <w:jc w:val="center"/>
        <w:rPr>
          <w:b/>
          <w:sz w:val="20"/>
          <w:szCs w:val="20"/>
          <w:lang w:val="es-CO"/>
        </w:rPr>
      </w:pPr>
      <w:r>
        <w:rPr>
          <w:b/>
          <w:sz w:val="20"/>
          <w:szCs w:val="20"/>
          <w:lang w:val="es-CO"/>
        </w:rPr>
        <w:t>Tasa de Informalidad</w:t>
      </w:r>
      <w:r w:rsidRPr="00752E0A">
        <w:rPr>
          <w:b/>
          <w:sz w:val="20"/>
          <w:szCs w:val="20"/>
          <w:lang w:val="es-CO"/>
        </w:rPr>
        <w:t xml:space="preserve"> del Distrito de Santa Marta</w:t>
      </w:r>
    </w:p>
    <w:p w14:paraId="49EB5950" w14:textId="475922C2" w:rsidR="006821AA" w:rsidRDefault="006821AA" w:rsidP="006821AA">
      <w:pPr>
        <w:jc w:val="center"/>
        <w:rPr>
          <w:rFonts w:ascii="Times New Roman" w:hAnsi="Times New Roman" w:cs="Times New Roman"/>
          <w:b/>
        </w:rPr>
      </w:pPr>
      <w:r w:rsidRPr="006821AA">
        <w:rPr>
          <w:rFonts w:ascii="Times New Roman" w:hAnsi="Times New Roman" w:cs="Times New Roman"/>
          <w:b/>
          <w:noProof/>
          <w:lang w:eastAsia="es-ES_tradnl"/>
        </w:rPr>
        <w:drawing>
          <wp:inline distT="0" distB="0" distL="0" distR="0" wp14:anchorId="41974AD0" wp14:editId="6BE2168D">
            <wp:extent cx="5400000" cy="18000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E60DA8" w14:textId="77777777" w:rsidR="006821AA" w:rsidRPr="003C29A1" w:rsidRDefault="006821AA" w:rsidP="006821AA">
      <w:pPr>
        <w:jc w:val="center"/>
        <w:rPr>
          <w:rFonts w:ascii="Times New Roman" w:hAnsi="Times New Roman" w:cs="Times New Roman"/>
          <w:sz w:val="16"/>
          <w:szCs w:val="16"/>
        </w:rPr>
      </w:pPr>
      <w:r w:rsidRPr="00AE2C40">
        <w:rPr>
          <w:rFonts w:ascii="Times New Roman" w:hAnsi="Times New Roman" w:cs="Times New Roman"/>
          <w:sz w:val="16"/>
          <w:szCs w:val="16"/>
        </w:rPr>
        <w:t>Fuente: Departamento Administrativo Nacional de Estadística – DANE</w:t>
      </w:r>
    </w:p>
    <w:p w14:paraId="0A7BA7EE" w14:textId="77777777" w:rsidR="006821AA" w:rsidRDefault="006821AA" w:rsidP="006821AA">
      <w:pPr>
        <w:jc w:val="center"/>
        <w:rPr>
          <w:rFonts w:ascii="Times New Roman" w:hAnsi="Times New Roman" w:cs="Times New Roman"/>
          <w:b/>
        </w:rPr>
      </w:pPr>
    </w:p>
    <w:p w14:paraId="275D0407" w14:textId="2A607F73" w:rsidR="00713962" w:rsidRDefault="00713962" w:rsidP="00713962">
      <w:pPr>
        <w:jc w:val="both"/>
        <w:rPr>
          <w:rFonts w:ascii="Times New Roman" w:hAnsi="Times New Roman" w:cs="Times New Roman"/>
        </w:rPr>
      </w:pPr>
      <w:r>
        <w:rPr>
          <w:rFonts w:ascii="Times New Roman" w:hAnsi="Times New Roman" w:cs="Times New Roman"/>
        </w:rPr>
        <w:t xml:space="preserve">El alto desempleo juvenil, la baja tasa global de participación, la baja remuneración promedio y la alta informalidad son señales de un mercado laboral poco dinámico que necesita políticas públicas focalizadas a la generación de empleos formales, mejores pagos, que permitan elevar la calidad de vida de los samarios.  </w:t>
      </w:r>
    </w:p>
    <w:p w14:paraId="388D9381" w14:textId="77777777" w:rsidR="00713962" w:rsidRDefault="00713962" w:rsidP="00713962">
      <w:pPr>
        <w:jc w:val="both"/>
        <w:rPr>
          <w:rFonts w:ascii="Times New Roman" w:hAnsi="Times New Roman" w:cs="Times New Roman"/>
        </w:rPr>
      </w:pPr>
    </w:p>
    <w:p w14:paraId="53063279" w14:textId="77777777" w:rsidR="00713962" w:rsidRPr="00713962" w:rsidRDefault="00713962" w:rsidP="00713962">
      <w:pPr>
        <w:jc w:val="both"/>
        <w:rPr>
          <w:rFonts w:ascii="Times New Roman" w:hAnsi="Times New Roman" w:cs="Times New Roman"/>
        </w:rPr>
      </w:pPr>
    </w:p>
    <w:p w14:paraId="51C31686" w14:textId="773AC3BD" w:rsidR="0001666B" w:rsidRDefault="0001666B" w:rsidP="0001666B">
      <w:pPr>
        <w:pStyle w:val="Prrafodelista"/>
        <w:numPr>
          <w:ilvl w:val="0"/>
          <w:numId w:val="26"/>
        </w:numPr>
        <w:jc w:val="both"/>
        <w:rPr>
          <w:rFonts w:ascii="Times New Roman" w:hAnsi="Times New Roman" w:cs="Times New Roman"/>
          <w:b/>
        </w:rPr>
      </w:pPr>
      <w:r w:rsidRPr="0001666B">
        <w:rPr>
          <w:rFonts w:ascii="Times New Roman" w:hAnsi="Times New Roman" w:cs="Times New Roman"/>
          <w:b/>
        </w:rPr>
        <w:t>La pobreza, la bahía más linda en problemas</w:t>
      </w:r>
    </w:p>
    <w:p w14:paraId="1E969BC4" w14:textId="77777777" w:rsidR="00AA151D" w:rsidRDefault="00AA151D" w:rsidP="00AA151D">
      <w:pPr>
        <w:jc w:val="both"/>
        <w:rPr>
          <w:rFonts w:ascii="Times New Roman" w:hAnsi="Times New Roman" w:cs="Times New Roman"/>
          <w:b/>
        </w:rPr>
      </w:pPr>
    </w:p>
    <w:p w14:paraId="55544D08" w14:textId="219C9C92" w:rsidR="00AA151D" w:rsidRDefault="00E712F3" w:rsidP="00AA151D">
      <w:pPr>
        <w:jc w:val="both"/>
        <w:rPr>
          <w:rFonts w:ascii="Times New Roman" w:hAnsi="Times New Roman" w:cs="Times New Roman"/>
        </w:rPr>
      </w:pPr>
      <w:proofErr w:type="gramStart"/>
      <w:r>
        <w:rPr>
          <w:rFonts w:ascii="Times New Roman" w:hAnsi="Times New Roman" w:cs="Times New Roman"/>
        </w:rPr>
        <w:t xml:space="preserve">El </w:t>
      </w:r>
      <w:r w:rsidR="00AA151D" w:rsidRPr="00AA151D">
        <w:rPr>
          <w:rFonts w:ascii="Times New Roman" w:hAnsi="Times New Roman" w:cs="Times New Roman"/>
        </w:rPr>
        <w:t xml:space="preserve"> </w:t>
      </w:r>
      <w:r>
        <w:rPr>
          <w:rFonts w:ascii="Times New Roman" w:hAnsi="Times New Roman" w:cs="Times New Roman"/>
        </w:rPr>
        <w:t>índice</w:t>
      </w:r>
      <w:proofErr w:type="gramEnd"/>
      <w:r>
        <w:rPr>
          <w:rFonts w:ascii="Times New Roman" w:hAnsi="Times New Roman" w:cs="Times New Roman"/>
        </w:rPr>
        <w:t xml:space="preserve"> </w:t>
      </w:r>
      <w:r w:rsidR="00AA151D" w:rsidRPr="00AA151D">
        <w:rPr>
          <w:rFonts w:ascii="Times New Roman" w:hAnsi="Times New Roman" w:cs="Times New Roman"/>
        </w:rPr>
        <w:t>de pobreza monetaria</w:t>
      </w:r>
      <w:r w:rsidR="00AA151D">
        <w:rPr>
          <w:rFonts w:ascii="Times New Roman" w:hAnsi="Times New Roman" w:cs="Times New Roman"/>
        </w:rPr>
        <w:t xml:space="preserve"> y el </w:t>
      </w:r>
      <w:r w:rsidR="00AA151D" w:rsidRPr="00AA151D">
        <w:rPr>
          <w:rFonts w:ascii="Times New Roman" w:hAnsi="Times New Roman" w:cs="Times New Roman"/>
        </w:rPr>
        <w:t>de pobreza monetaria</w:t>
      </w:r>
      <w:r w:rsidR="00AA151D">
        <w:rPr>
          <w:rFonts w:ascii="Times New Roman" w:hAnsi="Times New Roman" w:cs="Times New Roman"/>
        </w:rPr>
        <w:t xml:space="preserve"> extrema</w:t>
      </w:r>
      <w:r w:rsidR="00AA151D" w:rsidRPr="00AA151D">
        <w:rPr>
          <w:rFonts w:ascii="Times New Roman" w:hAnsi="Times New Roman" w:cs="Times New Roman"/>
        </w:rPr>
        <w:t>, es uno de los indicadores</w:t>
      </w:r>
      <w:r w:rsidR="00AA151D">
        <w:rPr>
          <w:rFonts w:ascii="Times New Roman" w:hAnsi="Times New Roman" w:cs="Times New Roman"/>
        </w:rPr>
        <w:t xml:space="preserve"> que ayuda a identificar la calidad de vida de una población, para el 2016  un total de </w:t>
      </w:r>
      <w:r w:rsidR="00AA151D" w:rsidRPr="00AA151D">
        <w:rPr>
          <w:lang w:val="en-US"/>
        </w:rPr>
        <w:t>172,529</w:t>
      </w:r>
      <w:r w:rsidR="00AA151D">
        <w:rPr>
          <w:lang w:val="en-US"/>
        </w:rPr>
        <w:t xml:space="preserve"> </w:t>
      </w:r>
      <w:r w:rsidR="004A59C6">
        <w:rPr>
          <w:lang w:val="en-US"/>
        </w:rPr>
        <w:t>sa</w:t>
      </w:r>
      <w:r w:rsidR="00AA151D">
        <w:rPr>
          <w:lang w:val="en-US"/>
        </w:rPr>
        <w:t>marios se encontra</w:t>
      </w:r>
      <w:r w:rsidR="00850850">
        <w:rPr>
          <w:lang w:val="en-US"/>
        </w:rPr>
        <w:t xml:space="preserve">ban bajo la linea de la pobreza </w:t>
      </w:r>
      <w:r w:rsidR="00B92929">
        <w:rPr>
          <w:lang w:val="en-US"/>
        </w:rPr>
        <w:t>(</w:t>
      </w:r>
      <w:r w:rsidR="00850850" w:rsidRPr="00AA151D">
        <w:rPr>
          <w:rFonts w:ascii="Times New Roman" w:hAnsi="Times New Roman" w:cs="Times New Roman"/>
        </w:rPr>
        <w:t>Índice de pobreza monetaria</w:t>
      </w:r>
      <w:r w:rsidR="00850850">
        <w:rPr>
          <w:rFonts w:ascii="Times New Roman" w:hAnsi="Times New Roman" w:cs="Times New Roman"/>
        </w:rPr>
        <w:t>) y más de 30 mil en miseria (Índice de pobreza monetaria extrema).</w:t>
      </w:r>
    </w:p>
    <w:p w14:paraId="629CB342" w14:textId="77777777" w:rsidR="00850850" w:rsidRDefault="00850850" w:rsidP="00AA151D">
      <w:pPr>
        <w:jc w:val="both"/>
        <w:rPr>
          <w:rFonts w:ascii="Times New Roman" w:hAnsi="Times New Roman" w:cs="Times New Roman"/>
        </w:rPr>
      </w:pPr>
    </w:p>
    <w:p w14:paraId="3B014278" w14:textId="2F1FE475" w:rsidR="00850850" w:rsidRDefault="00850850" w:rsidP="008508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La tendencia de la incidencia de pobreza monetaria en Santa Marta para el periodo 2014-2016 fue fluctuante, luego de ubicarse en 34.1% en 2014, disminuyó a 30.7% en 2015, para posteriormente llegar a 35.1% en 2016. Este aumento fue uno de los más importantes dentro de las ciudades del país, ubicándose la ciudad con incidencia más alta dentro de las ciudades capitales de la Red </w:t>
      </w:r>
      <w:r w:rsidR="004D2322">
        <w:rPr>
          <w:rFonts w:ascii="Times New Roman" w:hAnsi="Times New Roman" w:cs="Times New Roman"/>
          <w:color w:val="000000" w:themeColor="text1"/>
        </w:rPr>
        <w:t>de</w:t>
      </w:r>
      <w:r>
        <w:rPr>
          <w:rFonts w:ascii="Times New Roman" w:hAnsi="Times New Roman" w:cs="Times New Roman"/>
          <w:color w:val="000000" w:themeColor="text1"/>
        </w:rPr>
        <w:t xml:space="preserve"> Ciudades Cómo Vamos -RCCV-. Además, junto a Cúcuta fueron las únicas que superaron la barrera del 30%. En cuanto a los factores de causales, el incremento de la pobreza monetaria esta explicado básicamente por la disminución del Ingreso per capital por unidad de gasto en la ciudad. Lo anterior podría estar asociado con el aumento de la tasa de desempleo que paso de 9.1% en 2015 a 9.5% en 2016, para un total de 20.391 desocupados en Santa Marta. Lo cual va en dirección con la desaceleración que vive </w:t>
      </w:r>
      <w:r w:rsidR="006C385F">
        <w:rPr>
          <w:rFonts w:ascii="Times New Roman" w:hAnsi="Times New Roman" w:cs="Times New Roman"/>
          <w:color w:val="000000" w:themeColor="text1"/>
        </w:rPr>
        <w:t xml:space="preserve">el </w:t>
      </w:r>
      <w:r w:rsidR="00D9394D">
        <w:rPr>
          <w:rFonts w:ascii="Times New Roman" w:hAnsi="Times New Roman" w:cs="Times New Roman"/>
          <w:color w:val="000000" w:themeColor="text1"/>
        </w:rPr>
        <w:t>p</w:t>
      </w:r>
      <w:r>
        <w:rPr>
          <w:rFonts w:ascii="Times New Roman" w:hAnsi="Times New Roman" w:cs="Times New Roman"/>
          <w:color w:val="000000" w:themeColor="text1"/>
        </w:rPr>
        <w:t xml:space="preserve">aís en materia económica. </w:t>
      </w:r>
    </w:p>
    <w:p w14:paraId="00864B3E" w14:textId="77777777" w:rsidR="00850850" w:rsidRDefault="00850850" w:rsidP="00AA151D">
      <w:pPr>
        <w:jc w:val="both"/>
        <w:rPr>
          <w:lang w:val="es-CO"/>
        </w:rPr>
      </w:pPr>
    </w:p>
    <w:p w14:paraId="3F737A8E" w14:textId="2A54B1F6" w:rsidR="00850850" w:rsidRPr="00AE2C40" w:rsidRDefault="00850850" w:rsidP="00850850">
      <w:pPr>
        <w:jc w:val="center"/>
        <w:rPr>
          <w:rFonts w:ascii="Times New Roman" w:hAnsi="Times New Roman" w:cs="Times New Roman"/>
          <w:b/>
          <w:bCs/>
          <w:sz w:val="20"/>
          <w:szCs w:val="20"/>
          <w:lang w:val="en-US"/>
        </w:rPr>
      </w:pPr>
      <w:r w:rsidRPr="00AE2C40">
        <w:rPr>
          <w:rFonts w:ascii="Times New Roman" w:hAnsi="Times New Roman" w:cs="Times New Roman"/>
          <w:b/>
          <w:bCs/>
          <w:sz w:val="20"/>
          <w:szCs w:val="20"/>
          <w:lang w:val="en-US"/>
        </w:rPr>
        <w:t>Incidencia de pobreza monetaria para Santa Marta 2014-2016</w:t>
      </w:r>
    </w:p>
    <w:p w14:paraId="4C31602B" w14:textId="77777777" w:rsidR="00850850" w:rsidRDefault="00850850" w:rsidP="00850850">
      <w:pPr>
        <w:jc w:val="both"/>
        <w:rPr>
          <w:rFonts w:ascii="Times New Roman" w:hAnsi="Times New Roman" w:cs="Times New Roman"/>
          <w:color w:val="000000" w:themeColor="text1"/>
        </w:rPr>
      </w:pPr>
      <w:r>
        <w:rPr>
          <w:rFonts w:ascii="Times New Roman" w:hAnsi="Times New Roman" w:cs="Times New Roman"/>
          <w:noProof/>
          <w:color w:val="000000" w:themeColor="text1"/>
          <w:lang w:eastAsia="es-ES_tradnl"/>
        </w:rPr>
        <w:drawing>
          <wp:inline distT="0" distB="0" distL="0" distR="0" wp14:anchorId="3582588E" wp14:editId="6ECC2FDA">
            <wp:extent cx="5400000" cy="180000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432F82" w14:textId="77777777" w:rsidR="00850850" w:rsidRPr="00AE2C40" w:rsidRDefault="00850850" w:rsidP="00850850">
      <w:pPr>
        <w:jc w:val="center"/>
        <w:rPr>
          <w:rFonts w:ascii="Times New Roman" w:hAnsi="Times New Roman" w:cs="Times New Roman"/>
          <w:sz w:val="16"/>
          <w:szCs w:val="16"/>
        </w:rPr>
      </w:pPr>
      <w:r w:rsidRPr="00AE2C40">
        <w:rPr>
          <w:rFonts w:ascii="Times New Roman" w:hAnsi="Times New Roman" w:cs="Times New Roman"/>
          <w:sz w:val="16"/>
          <w:szCs w:val="16"/>
        </w:rPr>
        <w:t>Fuente: Departamento Administrativo Nacional de Estadística – DANE</w:t>
      </w:r>
    </w:p>
    <w:p w14:paraId="308D7FFB" w14:textId="77777777" w:rsidR="00850850" w:rsidRPr="00AA151D" w:rsidRDefault="00850850" w:rsidP="00AA151D">
      <w:pPr>
        <w:jc w:val="both"/>
        <w:rPr>
          <w:lang w:val="es-CO"/>
        </w:rPr>
      </w:pPr>
    </w:p>
    <w:p w14:paraId="176E2902" w14:textId="77777777" w:rsidR="00AE2C40" w:rsidRDefault="00AE2C40" w:rsidP="00AE2C40">
      <w:pPr>
        <w:jc w:val="both"/>
        <w:rPr>
          <w:rFonts w:ascii="Times New Roman" w:hAnsi="Times New Roman" w:cs="Times New Roman"/>
          <w:color w:val="000000" w:themeColor="text1"/>
        </w:rPr>
      </w:pPr>
      <w:r>
        <w:rPr>
          <w:rFonts w:ascii="Times New Roman" w:hAnsi="Times New Roman" w:cs="Times New Roman"/>
          <w:color w:val="000000" w:themeColor="text1"/>
        </w:rPr>
        <w:t xml:space="preserve">Para Santa Marta, la tendencia de la línea de pobreza monetaria extrema también fue fluctuante, pasando de 7.2% en 2014 a 6.5% en 2015, para luego ubicarse en 7.1% en 2016. De igual forma, este aumento fue importante comparado con el resto de capitales de RCCV; la ciudad quedo ubicada como la más alta dentro de este grupo de referencia. Además, fue la única que paso el límite del 7% junto a Cúcuta. </w:t>
      </w:r>
    </w:p>
    <w:p w14:paraId="1041DDEC" w14:textId="77777777" w:rsidR="006821AA" w:rsidRDefault="006821AA" w:rsidP="006821AA">
      <w:pPr>
        <w:jc w:val="both"/>
        <w:rPr>
          <w:rFonts w:ascii="Times New Roman" w:hAnsi="Times New Roman" w:cs="Times New Roman"/>
          <w:color w:val="000000" w:themeColor="text1"/>
        </w:rPr>
      </w:pPr>
    </w:p>
    <w:p w14:paraId="54BA75B1" w14:textId="77777777" w:rsidR="006821AA" w:rsidRDefault="006821AA" w:rsidP="006821AA">
      <w:pPr>
        <w:jc w:val="both"/>
        <w:rPr>
          <w:rFonts w:ascii="Times New Roman" w:hAnsi="Times New Roman" w:cs="Times New Roman"/>
          <w:color w:val="000000" w:themeColor="text1"/>
        </w:rPr>
      </w:pPr>
      <w:r>
        <w:rPr>
          <w:rFonts w:ascii="Times New Roman" w:hAnsi="Times New Roman" w:cs="Times New Roman"/>
          <w:color w:val="000000" w:themeColor="text1"/>
        </w:rPr>
        <w:t>Por otro lado, el Índice de Gini ha tenido una tendencia de disminución desde el año 2014, pasando de 0.470 en este año a 0.450 en 2016, es decir, que cada año la ciudad es menos desigual en cuanto a ingresos. Pero, relacionado lo anterior con el aumento de la pobreza, la disminución de los ingresos de los hogares y el desempleo en la población con estudios superiores y universitarios, posiblemente la disminución de la desigualdad se deba a pérdidas de ingresos de la población más rica y no a un incremento de los ingresos de la población pobre. Comparando la cifra local con el nivel nacional, la ciudad se encuentra por debajo de este promedio por 0.067 para el año 2016</w:t>
      </w:r>
    </w:p>
    <w:p w14:paraId="02957187" w14:textId="15C933ED" w:rsidR="00AA151D" w:rsidRDefault="00AA151D" w:rsidP="00AA151D">
      <w:pPr>
        <w:jc w:val="both"/>
        <w:rPr>
          <w:rFonts w:ascii="Times New Roman" w:hAnsi="Times New Roman" w:cs="Times New Roman"/>
        </w:rPr>
      </w:pPr>
    </w:p>
    <w:p w14:paraId="4C04567A" w14:textId="7F03147A" w:rsidR="00644B85" w:rsidRPr="00AA151D" w:rsidRDefault="00644B85" w:rsidP="00AA151D">
      <w:pPr>
        <w:jc w:val="both"/>
        <w:rPr>
          <w:rFonts w:ascii="Times New Roman" w:hAnsi="Times New Roman" w:cs="Times New Roman"/>
        </w:rPr>
      </w:pPr>
      <w:r>
        <w:rPr>
          <w:rFonts w:ascii="Times New Roman" w:hAnsi="Times New Roman" w:cs="Times New Roman"/>
        </w:rPr>
        <w:t xml:space="preserve">Por último, </w:t>
      </w:r>
      <w:r>
        <w:rPr>
          <w:rFonts w:ascii="Times New Roman" w:hAnsi="Times New Roman" w:cs="Times New Roman"/>
          <w:color w:val="000000" w:themeColor="text1"/>
        </w:rPr>
        <w:t>d</w:t>
      </w:r>
      <w:r w:rsidRPr="00A43FA8">
        <w:rPr>
          <w:rFonts w:ascii="Times New Roman" w:hAnsi="Times New Roman" w:cs="Times New Roman"/>
          <w:color w:val="000000" w:themeColor="text1"/>
        </w:rPr>
        <w:t xml:space="preserve">e acuerdo a la </w:t>
      </w:r>
      <w:r w:rsidR="009555A1">
        <w:rPr>
          <w:rFonts w:ascii="Times New Roman" w:hAnsi="Times New Roman" w:cs="Times New Roman"/>
          <w:color w:val="000000" w:themeColor="text1"/>
        </w:rPr>
        <w:t>Enc</w:t>
      </w:r>
      <w:r w:rsidRPr="00A43FA8">
        <w:rPr>
          <w:rFonts w:ascii="Times New Roman" w:hAnsi="Times New Roman" w:cs="Times New Roman"/>
          <w:color w:val="000000" w:themeColor="text1"/>
        </w:rPr>
        <w:t xml:space="preserve">uesta de </w:t>
      </w:r>
      <w:r w:rsidR="004A02B8">
        <w:rPr>
          <w:rFonts w:ascii="Times New Roman" w:hAnsi="Times New Roman" w:cs="Times New Roman"/>
          <w:color w:val="000000" w:themeColor="text1"/>
        </w:rPr>
        <w:t>Per</w:t>
      </w:r>
      <w:r w:rsidRPr="00A43FA8">
        <w:rPr>
          <w:rFonts w:ascii="Times New Roman" w:hAnsi="Times New Roman" w:cs="Times New Roman"/>
          <w:color w:val="000000" w:themeColor="text1"/>
        </w:rPr>
        <w:t xml:space="preserve">cepción </w:t>
      </w:r>
      <w:r w:rsidR="004A02B8">
        <w:rPr>
          <w:rFonts w:ascii="Times New Roman" w:hAnsi="Times New Roman" w:cs="Times New Roman"/>
          <w:color w:val="000000" w:themeColor="text1"/>
        </w:rPr>
        <w:t>C</w:t>
      </w:r>
      <w:r w:rsidRPr="00A43FA8">
        <w:rPr>
          <w:rFonts w:ascii="Times New Roman" w:hAnsi="Times New Roman" w:cs="Times New Roman"/>
          <w:color w:val="000000" w:themeColor="text1"/>
        </w:rPr>
        <w:t>iudadana realiz</w:t>
      </w:r>
      <w:r>
        <w:rPr>
          <w:rFonts w:ascii="Times New Roman" w:hAnsi="Times New Roman" w:cs="Times New Roman"/>
          <w:color w:val="000000" w:themeColor="text1"/>
        </w:rPr>
        <w:t>ada por Santa Marta Cómo Vamos. El 27% de las personas mayores de 18 años se considera a sí mismos como pobres, esta cifra es una de la más alta dentro de RCCV solo superado por Cartagena (30%) y en la misma línea de Cúcuta (27%).</w:t>
      </w:r>
    </w:p>
    <w:p w14:paraId="161F7C79" w14:textId="3A30FE24" w:rsidR="00AA151D" w:rsidRPr="00AA151D" w:rsidRDefault="00AA151D" w:rsidP="00AA151D">
      <w:pPr>
        <w:jc w:val="both"/>
        <w:rPr>
          <w:rFonts w:ascii="Times New Roman" w:hAnsi="Times New Roman" w:cs="Times New Roman"/>
        </w:rPr>
      </w:pPr>
      <w:r w:rsidRPr="00AA151D">
        <w:rPr>
          <w:rFonts w:ascii="Times New Roman" w:hAnsi="Times New Roman" w:cs="Times New Roman"/>
        </w:rPr>
        <w:t xml:space="preserve"> </w:t>
      </w:r>
    </w:p>
    <w:p w14:paraId="328623D7" w14:textId="24EE502C" w:rsidR="00B2594D" w:rsidRPr="0001666B" w:rsidRDefault="00B2594D" w:rsidP="0001666B">
      <w:pPr>
        <w:pStyle w:val="Prrafodelista"/>
        <w:numPr>
          <w:ilvl w:val="0"/>
          <w:numId w:val="26"/>
        </w:numPr>
        <w:jc w:val="both"/>
        <w:rPr>
          <w:rFonts w:ascii="Times New Roman" w:hAnsi="Times New Roman" w:cs="Times New Roman"/>
          <w:b/>
        </w:rPr>
      </w:pPr>
      <w:r>
        <w:rPr>
          <w:rFonts w:ascii="Times New Roman" w:hAnsi="Times New Roman" w:cs="Times New Roman"/>
          <w:b/>
        </w:rPr>
        <w:t>El agua, problema</w:t>
      </w:r>
      <w:r w:rsidR="00713962">
        <w:rPr>
          <w:rFonts w:ascii="Times New Roman" w:hAnsi="Times New Roman" w:cs="Times New Roman"/>
          <w:b/>
        </w:rPr>
        <w:t xml:space="preserve"> estructural que demanda soluciones definitivas. </w:t>
      </w:r>
    </w:p>
    <w:p w14:paraId="34871719" w14:textId="77777777" w:rsidR="0001666B" w:rsidRDefault="0001666B" w:rsidP="00B31675">
      <w:pPr>
        <w:jc w:val="center"/>
        <w:rPr>
          <w:rFonts w:ascii="Times New Roman" w:hAnsi="Times New Roman" w:cs="Times New Roman"/>
          <w:sz w:val="16"/>
          <w:szCs w:val="16"/>
        </w:rPr>
      </w:pPr>
    </w:p>
    <w:p w14:paraId="6BE8F951" w14:textId="7699303E" w:rsidR="00F76020" w:rsidRPr="00F76020" w:rsidRDefault="00F76020" w:rsidP="00F76020">
      <w:pPr>
        <w:jc w:val="both"/>
        <w:rPr>
          <w:rFonts w:ascii="Times New Roman" w:hAnsi="Times New Roman" w:cs="Times New Roman"/>
          <w:color w:val="000000" w:themeColor="text1"/>
        </w:rPr>
      </w:pPr>
      <w:r w:rsidRPr="00F76020">
        <w:rPr>
          <w:rFonts w:ascii="Times New Roman" w:hAnsi="Times New Roman" w:cs="Times New Roman"/>
          <w:color w:val="000000" w:themeColor="text1"/>
        </w:rPr>
        <w:t xml:space="preserve">Otra problemática social del Distrito de Santa Marta </w:t>
      </w:r>
      <w:r>
        <w:rPr>
          <w:rFonts w:ascii="Times New Roman" w:hAnsi="Times New Roman" w:cs="Times New Roman"/>
          <w:color w:val="000000" w:themeColor="text1"/>
        </w:rPr>
        <w:t xml:space="preserve">es el abastecimiento de agua potable para su población, aunque muy cerca de la Ciudad se encuentren fuente de aguas como ríos y la Sierra Nevada de Santa Marta, la mala prestación de este servicio es notoria y especialmente en </w:t>
      </w:r>
      <w:r w:rsidR="00713962">
        <w:rPr>
          <w:rFonts w:ascii="Times New Roman" w:hAnsi="Times New Roman" w:cs="Times New Roman"/>
          <w:color w:val="000000" w:themeColor="text1"/>
        </w:rPr>
        <w:t>época de ausencia de lluvias</w:t>
      </w:r>
      <w:r>
        <w:rPr>
          <w:rFonts w:ascii="Times New Roman" w:hAnsi="Times New Roman" w:cs="Times New Roman"/>
          <w:color w:val="000000" w:themeColor="text1"/>
        </w:rPr>
        <w:t xml:space="preserve">. Según los resultados de la última </w:t>
      </w:r>
      <w:r w:rsidR="001B6094">
        <w:rPr>
          <w:rFonts w:ascii="Times New Roman" w:hAnsi="Times New Roman" w:cs="Times New Roman"/>
          <w:color w:val="000000" w:themeColor="text1"/>
        </w:rPr>
        <w:t>E</w:t>
      </w:r>
      <w:r>
        <w:rPr>
          <w:rFonts w:ascii="Times New Roman" w:hAnsi="Times New Roman" w:cs="Times New Roman"/>
          <w:color w:val="000000" w:themeColor="text1"/>
        </w:rPr>
        <w:t xml:space="preserve">ncuesta de </w:t>
      </w:r>
      <w:r w:rsidR="003674C2">
        <w:rPr>
          <w:rFonts w:ascii="Times New Roman" w:hAnsi="Times New Roman" w:cs="Times New Roman"/>
          <w:color w:val="000000" w:themeColor="text1"/>
        </w:rPr>
        <w:t>Pe</w:t>
      </w:r>
      <w:r>
        <w:rPr>
          <w:rFonts w:ascii="Times New Roman" w:hAnsi="Times New Roman" w:cs="Times New Roman"/>
          <w:color w:val="000000" w:themeColor="text1"/>
        </w:rPr>
        <w:t xml:space="preserve">rcepción </w:t>
      </w:r>
      <w:r w:rsidR="003674C2">
        <w:rPr>
          <w:rFonts w:ascii="Times New Roman" w:hAnsi="Times New Roman" w:cs="Times New Roman"/>
          <w:color w:val="000000" w:themeColor="text1"/>
        </w:rPr>
        <w:t>Ci</w:t>
      </w:r>
      <w:r>
        <w:rPr>
          <w:rFonts w:ascii="Times New Roman" w:hAnsi="Times New Roman" w:cs="Times New Roman"/>
          <w:color w:val="000000" w:themeColor="text1"/>
        </w:rPr>
        <w:t>udadana de Santa Marta Cómo Vamos</w:t>
      </w:r>
      <w:r w:rsidR="007052D1">
        <w:rPr>
          <w:rFonts w:ascii="Times New Roman" w:hAnsi="Times New Roman" w:cs="Times New Roman"/>
          <w:color w:val="000000" w:themeColor="text1"/>
        </w:rPr>
        <w:t>, solo el 44% de la población está satisfech</w:t>
      </w:r>
      <w:r w:rsidR="003674C2">
        <w:rPr>
          <w:rFonts w:ascii="Times New Roman" w:hAnsi="Times New Roman" w:cs="Times New Roman"/>
          <w:color w:val="000000" w:themeColor="text1"/>
        </w:rPr>
        <w:t>a</w:t>
      </w:r>
      <w:r w:rsidR="00713962">
        <w:rPr>
          <w:rFonts w:ascii="Times New Roman" w:hAnsi="Times New Roman" w:cs="Times New Roman"/>
          <w:color w:val="000000" w:themeColor="text1"/>
        </w:rPr>
        <w:t xml:space="preserve"> con el servicio de agua, lo cual es un síntoma de un problema mucho más complejo y que refleja una prestación del servicio insuficiente para las demandas ciudadanas y que necesita una solución estructural de largo plazo.</w:t>
      </w:r>
      <w:bookmarkStart w:id="0" w:name="_GoBack"/>
      <w:bookmarkEnd w:id="0"/>
    </w:p>
    <w:sectPr w:rsidR="00F76020" w:rsidRPr="00F76020" w:rsidSect="009423DF">
      <w:headerReference w:type="default" r:id="rId14"/>
      <w:footerReference w:type="default" r:id="rId15"/>
      <w:pgSz w:w="12240" w:h="15840"/>
      <w:pgMar w:top="1807" w:right="1701" w:bottom="709"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BBAA02" w14:textId="77777777" w:rsidR="00297FE5" w:rsidRDefault="00297FE5" w:rsidP="003E67A7">
      <w:r>
        <w:separator/>
      </w:r>
    </w:p>
  </w:endnote>
  <w:endnote w:type="continuationSeparator" w:id="0">
    <w:p w14:paraId="6054203D" w14:textId="77777777" w:rsidR="00297FE5" w:rsidRDefault="00297FE5" w:rsidP="003E6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Seravek Light">
    <w:panose1 w:val="020B0503040000020004"/>
    <w:charset w:val="00"/>
    <w:family w:val="swiss"/>
    <w:pitch w:val="variable"/>
    <w:sig w:usb0="A00000EF" w:usb1="5000207B" w:usb2="00000000" w:usb3="00000000" w:csb0="0000009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D7114" w14:textId="77777777" w:rsidR="00BC68D6" w:rsidRDefault="00BC68D6">
    <w:pPr>
      <w:pStyle w:val="Piedepgina"/>
    </w:pPr>
    <w:r>
      <w:rPr>
        <w:noProof/>
        <w:lang w:eastAsia="es-ES_tradnl"/>
      </w:rPr>
      <mc:AlternateContent>
        <mc:Choice Requires="wps">
          <w:drawing>
            <wp:anchor distT="0" distB="0" distL="114300" distR="114300" simplePos="0" relativeHeight="251668480" behindDoc="0" locked="0" layoutInCell="1" allowOverlap="1" wp14:anchorId="3E59E632" wp14:editId="19E0EE06">
              <wp:simplePos x="0" y="0"/>
              <wp:positionH relativeFrom="column">
                <wp:posOffset>-456565</wp:posOffset>
              </wp:positionH>
              <wp:positionV relativeFrom="paragraph">
                <wp:posOffset>11430</wp:posOffset>
              </wp:positionV>
              <wp:extent cx="5029200" cy="342900"/>
              <wp:effectExtent l="0" t="0" r="0" b="1270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0DF0B4" w14:textId="43A17C0D" w:rsidR="00BC68D6" w:rsidRPr="004634B1" w:rsidRDefault="00BC68D6" w:rsidP="004C4E79">
                          <w:pPr>
                            <w:rPr>
                              <w:rFonts w:ascii="Seravek Light" w:hAnsi="Seravek Light"/>
                              <w:color w:val="176395"/>
                              <w:sz w:val="18"/>
                              <w:szCs w:val="18"/>
                            </w:rPr>
                          </w:pPr>
                          <w:r>
                            <w:rPr>
                              <w:rFonts w:ascii="Seravek Light" w:hAnsi="Seravek Light"/>
                              <w:color w:val="176395"/>
                              <w:sz w:val="18"/>
                              <w:szCs w:val="18"/>
                            </w:rPr>
                            <w:t>Ave. Libertador No. 13-94</w:t>
                          </w:r>
                          <w:r w:rsidRPr="004634B1">
                            <w:rPr>
                              <w:rFonts w:ascii="Wingdings" w:hAnsi="Wingdings"/>
                              <w:color w:val="176395"/>
                              <w:sz w:val="18"/>
                              <w:szCs w:val="18"/>
                            </w:rPr>
                            <w:t></w:t>
                          </w:r>
                          <w:r w:rsidRPr="004634B1">
                            <w:rPr>
                              <w:rFonts w:ascii="Seravek Light" w:hAnsi="Seravek Light"/>
                              <w:color w:val="176395"/>
                              <w:sz w:val="18"/>
                              <w:szCs w:val="18"/>
                            </w:rPr>
                            <w:t xml:space="preserve"> (+57</w:t>
                          </w:r>
                          <w:r>
                            <w:rPr>
                              <w:rFonts w:ascii="Seravek Light" w:hAnsi="Seravek Light"/>
                              <w:color w:val="176395"/>
                              <w:sz w:val="18"/>
                              <w:szCs w:val="18"/>
                            </w:rPr>
                            <w:t>5</w:t>
                          </w:r>
                          <w:r w:rsidRPr="004634B1">
                            <w:rPr>
                              <w:rFonts w:ascii="Seravek Light" w:hAnsi="Seravek Light"/>
                              <w:color w:val="176395"/>
                              <w:sz w:val="18"/>
                              <w:szCs w:val="18"/>
                            </w:rPr>
                            <w:t>)</w:t>
                          </w:r>
                          <w:r>
                            <w:rPr>
                              <w:rFonts w:ascii="Seravek Light" w:hAnsi="Seravek Light"/>
                              <w:color w:val="176395"/>
                              <w:sz w:val="18"/>
                              <w:szCs w:val="18"/>
                            </w:rPr>
                            <w:t xml:space="preserve"> 423 0828/</w:t>
                          </w:r>
                          <w:r w:rsidRPr="004634B1">
                            <w:rPr>
                              <w:rFonts w:ascii="Seravek Light" w:hAnsi="Seravek Light"/>
                              <w:color w:val="176395"/>
                              <w:sz w:val="18"/>
                              <w:szCs w:val="18"/>
                            </w:rPr>
                            <w:t xml:space="preserve"> 318 340 2527</w:t>
                          </w:r>
                          <w:r w:rsidRPr="004634B1">
                            <w:rPr>
                              <w:rFonts w:ascii="Wingdings" w:hAnsi="Wingdings"/>
                              <w:color w:val="176395"/>
                              <w:sz w:val="18"/>
                              <w:szCs w:val="18"/>
                            </w:rPr>
                            <w:t></w:t>
                          </w:r>
                          <w:r>
                            <w:rPr>
                              <w:rFonts w:ascii="Seravek Light" w:hAnsi="Seravek Light"/>
                              <w:color w:val="176395"/>
                              <w:sz w:val="18"/>
                              <w:szCs w:val="18"/>
                            </w:rPr>
                            <w:t xml:space="preserve"> direccion@santamartacomovamos</w:t>
                          </w:r>
                          <w:r w:rsidRPr="004634B1">
                            <w:rPr>
                              <w:rFonts w:ascii="Seravek Light" w:hAnsi="Seravek Light"/>
                              <w:color w:val="176395"/>
                              <w:sz w:val="18"/>
                              <w:szCs w:val="18"/>
                            </w:rPr>
                            <w:t xml:space="preserve">.org.co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uadro de texto 8" o:spid="_x0000_s1027" type="#_x0000_t202" style="position:absolute;margin-left:-35.95pt;margin-top:.9pt;width:396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Ms8ugIAAMoFAAAOAAAAZHJzL2Uyb0RvYy54bWysVN1v0zAQf0fif7D83iUp6VijpVPWqQip&#10;2iY2tGfXsddoic/YbpuC+N85O0lbBi9DvCTnu999f1xetU1NtsLYClROk7OYEqE4lJV6zunXx8Xo&#10;ghLrmCpZDUrkdC8svZq9f3e505kYwxrqUhiCRpTNdjqna+d0FkWWr0XD7BlooVAowTTM4dM8R6Vh&#10;O7Te1NE4js+jHZhSG+DCWuTedEI6C/alFNzdSWmFI3VOMTYXviZ8V/4bzS5Z9myYXle8D4P9QxQN&#10;qxQ6PZi6YY6Rjan+MNVU3IAF6c44NBFIWXERcsBskvhVNg9rpkXIBYtj9aFM9v+Z5bfbe0OqMqfY&#10;KMUabNF8w0oDpBTEidYBufBF2mmbIfZBI9q119Bis0PCVi+Bv1iERCeYTsEi2hellabxf0yXoCL2&#10;YX+oPbogHJmTeDzFhlLCUfYhHU+R9kaP2tpY90lAQzyRU4O9DRGw7dK6DjpAvDMFi6qukc+yWv3G&#10;QJsdR4QB6bRZhpEg6ZE+ptC8H/PJx3HxcTIdnReTZJQm8cWoKOLx6GZRxEWcLubT9PpnH+egH+rQ&#10;pe4rYt2+Fl0UX4TEUocKeEYYcjGvDdkyHE/GuVAu6a3VCtEeJTGLtyj2+JBHyO8tyl1FBs+g3EG5&#10;qRSYruN+N49hly9DyLLD95PQ5+1L4NpVG2YsID1nBeUeJ8lAt5BW80WFXV0y6+6ZwQ3EQcCr4u7w&#10;I2vY5RR6ipI1mO9/43s8LgZKKdnhRufUftswIyipPytcmWmSpv4EhEeKjcWHOZWsTiVq08wBu5Lg&#10;/dI8kB7v6oGUBponPD6F94oipjj6zqkbyLnr7gweLy6KIoBw6TVzS/Wg+bBAfmYf2ydmdD/Yfutu&#10;Ydh9lr2a7w7r26ug2DiQVRj+Y1X7+uPBCOvTHzd/kU7fAXU8wbNfAAAA//8DAFBLAwQUAAYACAAA&#10;ACEAwJo2JN0AAAAIAQAADwAAAGRycy9kb3ducmV2LnhtbEyPQU7DMBBF90i9gzWV2LVOKpWWEKdC&#10;SBUIsSH0AG5s4ijx2IrtJHB6hhUsR+/rz/vlabEDm/QYOocC8m0GTGPjVIetgMvHeXMEFqJEJQeH&#10;WsCXDnCqVjelLJSb8V1PdWwZlWAopAAToy84D43RVoat8xqJfbrRykjn2HI1ypnK7cB3WXbHreyQ&#10;Phjp9ZPRTV8nK+Ccnl/s9M2Tf62bGY3v0+WtF+J2vTw+AIt6iX9h+NUndajI6eoSqsAGAZtDfk9R&#10;ArSA+GGX5cCuAvb7I/Cq5P8HVD8AAAD//wMAUEsBAi0AFAAGAAgAAAAhALaDOJL+AAAA4QEAABMA&#10;AAAAAAAAAAAAAAAAAAAAAFtDb250ZW50X1R5cGVzXS54bWxQSwECLQAUAAYACAAAACEAOP0h/9YA&#10;AACUAQAACwAAAAAAAAAAAAAAAAAvAQAAX3JlbHMvLnJlbHNQSwECLQAUAAYACAAAACEA3KzLPLoC&#10;AADKBQAADgAAAAAAAAAAAAAAAAAuAgAAZHJzL2Uyb0RvYy54bWxQSwECLQAUAAYACAAAACEAwJo2&#10;JN0AAAAIAQAADwAAAAAAAAAAAAAAAAAUBQAAZHJzL2Rvd25yZXYueG1sUEsFBgAAAAAEAAQA8wAA&#10;AB4GAAAAAA==&#10;" filled="f" stroked="f">
              <v:path arrowok="t"/>
              <v:textbox>
                <w:txbxContent>
                  <w:p w14:paraId="520DF0B4" w14:textId="43A17C0D" w:rsidR="00BC68D6" w:rsidRPr="004634B1" w:rsidRDefault="00BC68D6" w:rsidP="004C4E79">
                    <w:pPr>
                      <w:rPr>
                        <w:rFonts w:ascii="Seravek Light" w:hAnsi="Seravek Light"/>
                        <w:color w:val="176395"/>
                        <w:sz w:val="18"/>
                        <w:szCs w:val="18"/>
                      </w:rPr>
                    </w:pPr>
                    <w:r>
                      <w:rPr>
                        <w:rFonts w:ascii="Seravek Light" w:hAnsi="Seravek Light"/>
                        <w:color w:val="176395"/>
                        <w:sz w:val="18"/>
                        <w:szCs w:val="18"/>
                      </w:rPr>
                      <w:t>Ave. Libertador No. 13-94</w:t>
                    </w:r>
                    <w:r w:rsidRPr="004634B1">
                      <w:rPr>
                        <w:rFonts w:ascii="Wingdings" w:hAnsi="Wingdings"/>
                        <w:color w:val="176395"/>
                        <w:sz w:val="18"/>
                        <w:szCs w:val="18"/>
                      </w:rPr>
                      <w:t></w:t>
                    </w:r>
                    <w:r w:rsidRPr="004634B1">
                      <w:rPr>
                        <w:rFonts w:ascii="Seravek Light" w:hAnsi="Seravek Light"/>
                        <w:color w:val="176395"/>
                        <w:sz w:val="18"/>
                        <w:szCs w:val="18"/>
                      </w:rPr>
                      <w:t xml:space="preserve"> (+57</w:t>
                    </w:r>
                    <w:r>
                      <w:rPr>
                        <w:rFonts w:ascii="Seravek Light" w:hAnsi="Seravek Light"/>
                        <w:color w:val="176395"/>
                        <w:sz w:val="18"/>
                        <w:szCs w:val="18"/>
                      </w:rPr>
                      <w:t>5</w:t>
                    </w:r>
                    <w:r w:rsidRPr="004634B1">
                      <w:rPr>
                        <w:rFonts w:ascii="Seravek Light" w:hAnsi="Seravek Light"/>
                        <w:color w:val="176395"/>
                        <w:sz w:val="18"/>
                        <w:szCs w:val="18"/>
                      </w:rPr>
                      <w:t>)</w:t>
                    </w:r>
                    <w:r>
                      <w:rPr>
                        <w:rFonts w:ascii="Seravek Light" w:hAnsi="Seravek Light"/>
                        <w:color w:val="176395"/>
                        <w:sz w:val="18"/>
                        <w:szCs w:val="18"/>
                      </w:rPr>
                      <w:t xml:space="preserve"> 423 0828/</w:t>
                    </w:r>
                    <w:r w:rsidRPr="004634B1">
                      <w:rPr>
                        <w:rFonts w:ascii="Seravek Light" w:hAnsi="Seravek Light"/>
                        <w:color w:val="176395"/>
                        <w:sz w:val="18"/>
                        <w:szCs w:val="18"/>
                      </w:rPr>
                      <w:t xml:space="preserve"> 318 340 2527</w:t>
                    </w:r>
                    <w:r w:rsidRPr="004634B1">
                      <w:rPr>
                        <w:rFonts w:ascii="Wingdings" w:hAnsi="Wingdings"/>
                        <w:color w:val="176395"/>
                        <w:sz w:val="18"/>
                        <w:szCs w:val="18"/>
                      </w:rPr>
                      <w:t></w:t>
                    </w:r>
                    <w:r>
                      <w:rPr>
                        <w:rFonts w:ascii="Seravek Light" w:hAnsi="Seravek Light"/>
                        <w:color w:val="176395"/>
                        <w:sz w:val="18"/>
                        <w:szCs w:val="18"/>
                      </w:rPr>
                      <w:t xml:space="preserve"> direccion@santamartacomovamos</w:t>
                    </w:r>
                    <w:r w:rsidRPr="004634B1">
                      <w:rPr>
                        <w:rFonts w:ascii="Seravek Light" w:hAnsi="Seravek Light"/>
                        <w:color w:val="176395"/>
                        <w:sz w:val="18"/>
                        <w:szCs w:val="18"/>
                      </w:rPr>
                      <w:t xml:space="preserve">.org.co </w:t>
                    </w:r>
                  </w:p>
                </w:txbxContent>
              </v:textbox>
            </v:shape>
          </w:pict>
        </mc:Fallback>
      </mc:AlternateContent>
    </w:r>
    <w:r>
      <w:rPr>
        <w:noProof/>
        <w:lang w:eastAsia="es-ES_tradnl"/>
      </w:rPr>
      <mc:AlternateContent>
        <mc:Choice Requires="wps">
          <w:drawing>
            <wp:anchor distT="4294967295" distB="4294967295" distL="114300" distR="114300" simplePos="0" relativeHeight="251666432" behindDoc="0" locked="0" layoutInCell="1" allowOverlap="1" wp14:anchorId="65181832" wp14:editId="686522F5">
              <wp:simplePos x="0" y="0"/>
              <wp:positionH relativeFrom="column">
                <wp:posOffset>-456565</wp:posOffset>
              </wp:positionH>
              <wp:positionV relativeFrom="paragraph">
                <wp:posOffset>11429</wp:posOffset>
              </wp:positionV>
              <wp:extent cx="6400800" cy="0"/>
              <wp:effectExtent l="0" t="0" r="25400" b="2540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ln w="9525" cmpd="sng">
                        <a:solidFill>
                          <a:srgbClr val="16588F"/>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AD4BC7" id="Conector recto 7"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95pt,.9pt" to="468.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rXF8QEAAD4EAAAOAAAAZHJzL2Uyb0RvYy54bWysU8tu2zAQvBfoPxC815KN2nEFyzk4cC9B&#10;azTtB9AUaRPlC0vWkv++S+rhpC0QIOiFErkzszvL5ea+M5pcBATlbE3ns5ISYblrlD3V9Mf3/Yc1&#10;JSEy2zDtrKjpVQR6v33/btP6Sizc2elGAEERG6rW1/Qco6+KIvCzMCzMnBcWg9KBYRG3cCoaYC2q&#10;G10synJVtA4aD46LEPD0oQ/SbdaXUvD4VcogItE1xdpiXiGvx7QW2w2rTsD8WfGhDPaGKgxTFpNO&#10;Ug8sMvIL1F9SRnFwwck4484UTkrFRfaAbublH26ezsyL7AWbE/zUpvD/ZPmXywGIamp6R4llBq9o&#10;hxfFowMC6UPuUo9aHyqE7uwBkkve2Sf/6PjPgLHiRTBtgu9hnQST4GiTdLnn16nnoouE4+HqY1mu&#10;S7waPsYKVo1EDyF+Fs6Q9FNTrWxqB6vY5THElJpVIyQda0vamn5aLpYoZzyaCvaUCcFp1eyV1gkW&#10;4HTcaSAXhkMxXy3X633yiGLPYLjTNqFFnqIh381d/otXLfrE34TELqKfRZ8vza+YkjDOhY3zIYu2&#10;iE40iQVNxPJ14oC/VTWR56+Tex9jZmfjRDbKOviXQOzGkmWPHy479L5TC46uuR5gnAIc0tzH4UGl&#10;V/B8n+m3Z7/9DQAA//8DAFBLAwQUAAYACAAAACEAVCsb+9kAAAAHAQAADwAAAGRycy9kb3ducmV2&#10;LnhtbEyPwW7CMBBE75X4B2uRegMnbQUljYNQpYpzgQPHdbwkEbEd2Sakf99tL+1x9Eazb8vtZHsx&#10;UoiddwryZQaCXO1N5xoFp+PH4hVETOgM9t6Rgi+KsK1mDyUWxt/dJ42H1AgecbFABW1KQyFlrFuy&#10;GJd+IMfs4oPFxDE00gS887jt5VOWraTFzvGFFgd6b6m+Hm5Wwf6ofTDrl3FH57Bvxqs+4UUr9Tif&#10;dm8gEk3prww/+qwOFTtpf3Mmil7BYp1vuMqAP2C+eV7lIPRvllUp//tX3wAAAP//AwBQSwECLQAU&#10;AAYACAAAACEAtoM4kv4AAADhAQAAEwAAAAAAAAAAAAAAAAAAAAAAW0NvbnRlbnRfVHlwZXNdLnht&#10;bFBLAQItABQABgAIAAAAIQA4/SH/1gAAAJQBAAALAAAAAAAAAAAAAAAAAC8BAABfcmVscy8ucmVs&#10;c1BLAQItABQABgAIAAAAIQDuMrXF8QEAAD4EAAAOAAAAAAAAAAAAAAAAAC4CAABkcnMvZTJvRG9j&#10;LnhtbFBLAQItABQABgAIAAAAIQBUKxv72QAAAAcBAAAPAAAAAAAAAAAAAAAAAEsEAABkcnMvZG93&#10;bnJldi54bWxQSwUGAAAAAAQABADzAAAAUQUAAAAA&#10;" strokecolor="#16588f">
              <o:lock v:ext="edit" shapetype="f"/>
            </v:lin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349844" w14:textId="77777777" w:rsidR="00297FE5" w:rsidRDefault="00297FE5" w:rsidP="003E67A7">
      <w:r>
        <w:separator/>
      </w:r>
    </w:p>
  </w:footnote>
  <w:footnote w:type="continuationSeparator" w:id="0">
    <w:p w14:paraId="01436E66" w14:textId="77777777" w:rsidR="00297FE5" w:rsidRDefault="00297FE5" w:rsidP="003E67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0CB3A" w14:textId="4713F8B5" w:rsidR="00BC68D6" w:rsidRDefault="00BC68D6">
    <w:pPr>
      <w:pStyle w:val="Encabezado"/>
    </w:pPr>
    <w:r>
      <w:rPr>
        <w:noProof/>
        <w:lang w:eastAsia="es-ES_tradnl"/>
      </w:rPr>
      <mc:AlternateContent>
        <mc:Choice Requires="wps">
          <w:drawing>
            <wp:anchor distT="4294967295" distB="4294967295" distL="114300" distR="114300" simplePos="0" relativeHeight="251661312" behindDoc="0" locked="0" layoutInCell="1" allowOverlap="1" wp14:anchorId="4E72D360" wp14:editId="7BDDABF7">
              <wp:simplePos x="0" y="0"/>
              <wp:positionH relativeFrom="column">
                <wp:posOffset>-227965</wp:posOffset>
              </wp:positionH>
              <wp:positionV relativeFrom="paragraph">
                <wp:posOffset>675640</wp:posOffset>
              </wp:positionV>
              <wp:extent cx="6400800" cy="0"/>
              <wp:effectExtent l="0" t="0" r="25400" b="2540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ln w="9525" cmpd="sng">
                        <a:solidFill>
                          <a:srgbClr val="16588F"/>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AEECFF" id="Conector recto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95pt,53.2pt" to="486.05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L6k8AEAAD4EAAAOAAAAZHJzL2Uyb0RvYy54bWysU9uO2yAQfa/Uf0C8N3asJkqtOPuQVfqy&#10;aqNu+wEEQ4LKTQyNnb/vgC/ZXqSVqr5gw5xzZs4wbB96o8lVBFDONnS5KCkRlrtW2XNDv309vNtQ&#10;ApHZlmlnRUNvAujD7u2bbedrUbmL060IBEUs1J1v6CVGXxcF8IswDBbOC4tB6YJhEbfhXLSBdahu&#10;dFGV5broXGh9cFwA4OnjEKS7rC+l4PGzlCAi0Q3F2mJeQ15PaS12W1afA/MXxccy2D9UYZiymHSW&#10;emSRkR9B/SFlFA8OnIwL7kzhpFRcZA/oZln+5ub5wrzIXrA54Oc2wf+T5Z+ux0BU29CKEssMXtEe&#10;L4pHF0hIH1KlHnUeaoTu7TEkl7y3z/7J8e+AseKXYNqAH2C9DCbB0Sbpc89vc89FHwnHw/X7styU&#10;eDV8ihWsnog+QPwonCHpp6Fa2dQOVrPrE8SUmtUTJB1rS7qGflhVK5QzHk2BPWcCOK3ag9I6wSCc&#10;T3sdyJXhUCzXq83mkDyi2AsY7rRNaJGnaMx3d5f/4k2LIfEXIbGL6Kca8qX5FXMSxrmwcTlm0RbR&#10;iSaxoJlYvk4c8feqZvLydfLgY8rsbJzJRlkX/iYQ+6lkOeDHy4bBd2rBybW3Y5imAIc093F8UOkV&#10;vNxn+v3Z734CAAD//wMAUEsDBBQABgAIAAAAIQAfNEkm3AAAAAsBAAAPAAAAZHJzL2Rvd25yZXYu&#10;eG1sTI/BbsIwDIbvk/YOkZF2gxTGYJSmCE2aOA847Og0pq1onCoJpXv7ZdKk7Wj/n35/Lnaj7cRA&#10;PrSOFcxnGQjiypmWawXn0/v0FUSIyAY7x6TgiwLsyseHAnPj7vxBwzHWIpVwyFFBE2OfSxmqhiyG&#10;meuJU3Zx3mJMo6+l8XhP5baTiyxbSYstpwsN9vTWUHU93qyCw0k7b9bLYU+f/lAPV33Gi1bqaTLu&#10;tyAijfEPhh/9pA5lctLuxiaITsH0+WWT0BRkqyWIRGzWizkI/buRZSH//1B+AwAA//8DAFBLAQIt&#10;ABQABgAIAAAAIQC2gziS/gAAAOEBAAATAAAAAAAAAAAAAAAAAAAAAABbQ29udGVudF9UeXBlc10u&#10;eG1sUEsBAi0AFAAGAAgAAAAhADj9If/WAAAAlAEAAAsAAAAAAAAAAAAAAAAALwEAAF9yZWxzLy5y&#10;ZWxzUEsBAi0AFAAGAAgAAAAhABokvqTwAQAAPgQAAA4AAAAAAAAAAAAAAAAALgIAAGRycy9lMm9E&#10;b2MueG1sUEsBAi0AFAAGAAgAAAAhAB80SSbcAAAACwEAAA8AAAAAAAAAAAAAAAAASgQAAGRycy9k&#10;b3ducmV2LnhtbFBLBQYAAAAABAAEAPMAAABTBQAAAAA=&#10;" strokecolor="#16588f">
              <o:lock v:ext="edit" shapetype="f"/>
            </v:line>
          </w:pict>
        </mc:Fallback>
      </mc:AlternateContent>
    </w:r>
    <w:r>
      <w:rPr>
        <w:noProof/>
        <w:lang w:eastAsia="es-ES_tradnl"/>
      </w:rPr>
      <mc:AlternateContent>
        <mc:Choice Requires="wps">
          <w:drawing>
            <wp:anchor distT="0" distB="0" distL="114300" distR="114300" simplePos="0" relativeHeight="251664384" behindDoc="0" locked="0" layoutInCell="1" allowOverlap="1" wp14:anchorId="01F831A3" wp14:editId="64390E12">
              <wp:simplePos x="0" y="0"/>
              <wp:positionH relativeFrom="column">
                <wp:posOffset>4686300</wp:posOffset>
              </wp:positionH>
              <wp:positionV relativeFrom="paragraph">
                <wp:posOffset>191135</wp:posOffset>
              </wp:positionV>
              <wp:extent cx="1714500" cy="571500"/>
              <wp:effectExtent l="0" t="0" r="0" b="1270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45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931823" w14:textId="77777777" w:rsidR="00BC68D6" w:rsidRPr="004C4E79" w:rsidRDefault="00BC68D6">
                          <w:pPr>
                            <w:rPr>
                              <w:rFonts w:ascii="Seravek Light" w:hAnsi="Seravek Light"/>
                              <w:color w:val="176395"/>
                              <w:sz w:val="18"/>
                              <w:szCs w:val="18"/>
                            </w:rPr>
                          </w:pPr>
                          <w:r w:rsidRPr="004C4E79">
                            <w:rPr>
                              <w:rFonts w:ascii="Seravek Light" w:hAnsi="Seravek Light"/>
                              <w:color w:val="176395"/>
                              <w:sz w:val="18"/>
                              <w:szCs w:val="18"/>
                            </w:rPr>
                            <w:t xml:space="preserve">Para </w:t>
                          </w:r>
                          <w:proofErr w:type="gramStart"/>
                          <w:r w:rsidRPr="004C4E79">
                            <w:rPr>
                              <w:rFonts w:ascii="Seravek Light" w:hAnsi="Seravek Light"/>
                              <w:color w:val="176395"/>
                              <w:sz w:val="18"/>
                              <w:szCs w:val="18"/>
                            </w:rPr>
                            <w:t>evaluar  los</w:t>
                          </w:r>
                          <w:proofErr w:type="gramEnd"/>
                          <w:r w:rsidRPr="004C4E79">
                            <w:rPr>
                              <w:rFonts w:ascii="Seravek Light" w:hAnsi="Seravek Light"/>
                              <w:color w:val="176395"/>
                              <w:sz w:val="18"/>
                              <w:szCs w:val="18"/>
                            </w:rPr>
                            <w:t xml:space="preserve"> cambios de</w:t>
                          </w:r>
                          <w:r>
                            <w:rPr>
                              <w:rFonts w:ascii="Seravek Light" w:hAnsi="Seravek Light"/>
                              <w:color w:val="176395"/>
                              <w:sz w:val="18"/>
                              <w:szCs w:val="18"/>
                            </w:rPr>
                            <w:t xml:space="preserve"> la calidad de vida en Santa Marta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uadro de texto 5" o:spid="_x0000_s1026" type="#_x0000_t202" style="position:absolute;margin-left:369pt;margin-top:15.05pt;width:135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YLGuAIAAMMFAAAOAAAAZHJzL2Uyb0RvYy54bWysVE1v2zAMvQ/YfxB0T20HTtMadQo3RYYB&#10;QVusHXpWZKkxaouapCTOhv33UbKdZN0uHXaxKfGRIh8/rq7bpiZbYWwFKqfJWUyJUBzKSr3k9OvT&#10;YnRBiXVMlawGJXK6F5Zezz5+uNrpTIxhDXUpDEEnymY7ndO1czqLIsvXomH2DLRQqJRgGubwaF6i&#10;0rAdem/qaBzH59EOTKkNcGEt3t52SjoL/qUU3N1LaYUjdU4xNhe+JnxX/hvNrlj2YpheV7wPg/1D&#10;FA2rFD56cHXLHCMbU/3hqqm4AQvSnXFoIpCy4iLkgNkk8ZtsHtdMi5ALkmP1gSb7/9zyu+2DIVWZ&#10;0wklijVYovmGlQZIKYgTrQMy8STttM0Q+6gR7dobaLHYIWGrl8BfLUKiE0xnYBHtSWmlafwf0yVo&#10;iHXYH7jHJwj33qZJOolRxVE3mSZe9k6P1tpY90lAQ7yQU4O1DRGw7dK6DjpA/GMKFlVd4z3LavXb&#10;BfrsbkRokM6aZRgJih7pYwrF+zGfTMfFdHI5Oi8myShN4otRUcTj0e2iiIs4Xcwv05uffZyDfeCh&#10;S90zYt2+Fl0UX4REqgMD/iI0uZjXhmwZtifjXCiX9N5qhWiPkpjFewx7fMgj5Pce446R4WVQ7mDc&#10;VApMV3E/m8ewy9chZNnh+07o8/YUuHbVYiG8uIJyjy1koJtEq/miwnIumXUPzODoYQfgOnH3+JE1&#10;7HIKvUTJGsz3v917PE4EainZ4Sjn1H7bMCMoqT8rnJXLJE397IdDihXFgznVrE41atPMAcuR4OLS&#10;PIge7+pBlAaaZ9w6hX8VVUxxfDunbhDnrlswuLW4KIoAwmnXzC3Vo+bD5PhmfWqfmdF9R/txu4Nh&#10;6Fn2prE7rK+rgmLjQFah64+s9sTjpghz0281v4pOzwF13L2zXwAAAP//AwBQSwMEFAAGAAgAAAAh&#10;AK+JCY/dAAAACwEAAA8AAABkcnMvZG93bnJldi54bWxMj0FLxDAQhe+C/yGM4M1Ndhd0qU0XERZF&#10;vFj3B2Sb2JQ2k9AkbfXXOz3pbebN4833yuPiBjaZMXYeJWw3ApjBxusOWwnnz9PdAVhMCrUaPBoJ&#10;3ybCsbq+KlWh/YwfZqpTyygEY6Ek2JRCwXlsrHEqbnwwSLcvPzqVaB1brkc1U7gb+E6Ie+5Uh/TB&#10;qmCerWn6OjsJp/zy6qYfnsNb3cxoQ5/P772UtzfL0yOwZJb0Z4YVn9ChIqaLz6gjGyQ87A/UJUnY&#10;iy2w1SDEqlxo2pHEq5L/71D9AgAA//8DAFBLAQItABQABgAIAAAAIQC2gziS/gAAAOEBAAATAAAA&#10;AAAAAAAAAAAAAAAAAABbQ29udGVudF9UeXBlc10ueG1sUEsBAi0AFAAGAAgAAAAhADj9If/WAAAA&#10;lAEAAAsAAAAAAAAAAAAAAAAALwEAAF9yZWxzLy5yZWxzUEsBAi0AFAAGAAgAAAAhAJ8lgsa4AgAA&#10;wwUAAA4AAAAAAAAAAAAAAAAALgIAAGRycy9lMm9Eb2MueG1sUEsBAi0AFAAGAAgAAAAhAK+JCY/d&#10;AAAACwEAAA8AAAAAAAAAAAAAAAAAEgUAAGRycy9kb3ducmV2LnhtbFBLBQYAAAAABAAEAPMAAAAc&#10;BgAAAAA=&#10;" filled="f" stroked="f">
              <v:path arrowok="t"/>
              <v:textbox>
                <w:txbxContent>
                  <w:p w14:paraId="39931823" w14:textId="77777777" w:rsidR="00BC68D6" w:rsidRPr="004C4E79" w:rsidRDefault="00BC68D6">
                    <w:pPr>
                      <w:rPr>
                        <w:rFonts w:ascii="Seravek Light" w:hAnsi="Seravek Light"/>
                        <w:color w:val="176395"/>
                        <w:sz w:val="18"/>
                        <w:szCs w:val="18"/>
                      </w:rPr>
                    </w:pPr>
                    <w:r w:rsidRPr="004C4E79">
                      <w:rPr>
                        <w:rFonts w:ascii="Seravek Light" w:hAnsi="Seravek Light"/>
                        <w:color w:val="176395"/>
                        <w:sz w:val="18"/>
                        <w:szCs w:val="18"/>
                      </w:rPr>
                      <w:t>Para evaluar  los cambios de</w:t>
                    </w:r>
                    <w:r>
                      <w:rPr>
                        <w:rFonts w:ascii="Seravek Light" w:hAnsi="Seravek Light"/>
                        <w:color w:val="176395"/>
                        <w:sz w:val="18"/>
                        <w:szCs w:val="18"/>
                      </w:rPr>
                      <w:t xml:space="preserve"> la calidad de vida en Santa Marta</w:t>
                    </w:r>
                  </w:p>
                </w:txbxContent>
              </v:textbox>
            </v:shape>
          </w:pict>
        </mc:Fallback>
      </mc:AlternateContent>
    </w:r>
    <w:r w:rsidRPr="003E67A7">
      <w:rPr>
        <w:noProof/>
        <w:lang w:eastAsia="es-ES_tradnl"/>
      </w:rPr>
      <w:drawing>
        <wp:inline distT="0" distB="0" distL="0" distR="0" wp14:anchorId="4AD24A6B" wp14:editId="007DC77D">
          <wp:extent cx="1940023" cy="673611"/>
          <wp:effectExtent l="0" t="0" r="0" b="1270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1189" cy="674016"/>
                  </a:xfrm>
                  <a:prstGeom prst="rect">
                    <a:avLst/>
                  </a:prstGeom>
                  <a:noFill/>
                  <a:ln>
                    <a:noFill/>
                  </a:ln>
                </pic:spPr>
              </pic:pic>
            </a:graphicData>
          </a:graphic>
        </wp:inline>
      </w:drawing>
    </w:r>
    <w:r>
      <w:rPr>
        <w:noProof/>
        <w:lang w:eastAsia="es-ES_tradnl"/>
      </w:rPr>
      <mc:AlternateContent>
        <mc:Choice Requires="wps">
          <w:drawing>
            <wp:anchor distT="4294967295" distB="4294967295" distL="114300" distR="114300" simplePos="0" relativeHeight="251663360" behindDoc="0" locked="0" layoutInCell="1" allowOverlap="1" wp14:anchorId="745AA700" wp14:editId="54C5ABBA">
              <wp:simplePos x="0" y="0"/>
              <wp:positionH relativeFrom="column">
                <wp:posOffset>-227965</wp:posOffset>
              </wp:positionH>
              <wp:positionV relativeFrom="paragraph">
                <wp:posOffset>-36831</wp:posOffset>
              </wp:positionV>
              <wp:extent cx="6400800" cy="0"/>
              <wp:effectExtent l="0" t="0" r="25400" b="25400"/>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ln w="9525" cmpd="sng">
                        <a:solidFill>
                          <a:srgbClr val="3FBAFF"/>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E0D034" id="Conector recto 4"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95pt,-2.9pt" to="486.0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Z+V8gEAAD4EAAAOAAAAZHJzL2Uyb0RvYy54bWysU9uO0zAQfUfiHyy/06Slu1qipivoqrys&#10;oGLhA1zHTi1809g06d8zdi5dLtJKiBcn9pxzZs54vLnvjSZnAUE5W9PloqREWO4aZduafvu6f3NH&#10;SYjMNkw7K2p6EYHeb1+/2nS+Eit3croRQFDEhqrzNT3F6KuiCPwkDAsL54XFoHRgWMQttEUDrEN1&#10;o4tVWd4WnYPGg+MiBDx9GIJ0m/WlFDx+ljKISHRNsbaYV8jrMa3FdsOqFpg/KT6Wwf6hCsOUxaSz&#10;1AOLjPwA9YeUURxccDIuuDOFk1JxkT2gm2X5m5unE/Mie8HmBD+3Kfw/Wf7pfACimpquKbHM4BXt&#10;8KJ4dEAgfcg69ajzoULozh4gueS9ffKPjn8PGCt+CaZN8AOsl2ASHG2SPvf8Mvdc9JFwPLxdl+Vd&#10;iVfDp1jBqonoIcSPwhmSfmqqlU3tYBU7P4aYUrNqgqRjbUlX03c3qxuUMx5NBdtmQnBaNXuldYIF&#10;aI87DeTMcCje7j+83++TRxR7BsOdtgkt8hSN+a7u8l+8aDEk/iIkdhH9rIZ8aX7FnIRxLmxcjlm0&#10;RXSiSSxoJpYvE0f8taqZvHyZPPiYMjsbZ7JR1sHfBGI/lSwH/HjZYfCdWnB0zeUA0xTgkOY+jg8q&#10;vYLn+0y/PvvtTwAAAP//AwBQSwMEFAAGAAgAAAAhAPIod4bgAAAACQEAAA8AAABkcnMvZG93bnJl&#10;di54bWxMj0FPwzAMhe9I/IfISFzQlm4w2ErTCSHtgDgMNobEzW1MW9E4pcm28u8x4gA32+/p+XvZ&#10;cnCtOlAfGs8GJuMEFHHpbcOVgZftajQHFSKyxdYzGfiiAMv89CTD1PojP9NhEyslIRxSNFDH2KVa&#10;h7Imh2HsO2LR3n3vMMraV9r2eJRw1+ppklxrhw3Lhxo7uq+p/NjsnYHV6/rz6QFdeTUf3qjePu7c&#10;RbEz5vxsuLsFFWmIf2b4wRd0yIWp8Hu2QbUGRpezhVhlmEkFMSxuphNQxe9B55n+3yD/BgAA//8D&#10;AFBLAQItABQABgAIAAAAIQC2gziS/gAAAOEBAAATAAAAAAAAAAAAAAAAAAAAAABbQ29udGVudF9U&#10;eXBlc10ueG1sUEsBAi0AFAAGAAgAAAAhADj9If/WAAAAlAEAAAsAAAAAAAAAAAAAAAAALwEAAF9y&#10;ZWxzLy5yZWxzUEsBAi0AFAAGAAgAAAAhAPHpn5XyAQAAPgQAAA4AAAAAAAAAAAAAAAAALgIAAGRy&#10;cy9lMm9Eb2MueG1sUEsBAi0AFAAGAAgAAAAhAPIod4bgAAAACQEAAA8AAAAAAAAAAAAAAAAATAQA&#10;AGRycy9kb3ducmV2LnhtbFBLBQYAAAAABAAEAPMAAABZBQAAAAA=&#10;" strokecolor="#3fbaff">
              <o:lock v:ext="edit" shapetype="f"/>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A6F0C"/>
    <w:multiLevelType w:val="hybridMultilevel"/>
    <w:tmpl w:val="53961F16"/>
    <w:lvl w:ilvl="0" w:tplc="BC9A0092">
      <w:start w:val="3"/>
      <w:numFmt w:val="decimal"/>
      <w:lvlText w:val="%1."/>
      <w:lvlJc w:val="left"/>
      <w:pPr>
        <w:ind w:left="720" w:hanging="360"/>
      </w:pPr>
      <w:rPr>
        <w:rFonts w:asciiTheme="minorHAnsi" w:hAnsiTheme="minorHAns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FC937FE"/>
    <w:multiLevelType w:val="hybridMultilevel"/>
    <w:tmpl w:val="8F6EF0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3426BE9"/>
    <w:multiLevelType w:val="hybridMultilevel"/>
    <w:tmpl w:val="D9E01912"/>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A182E2D"/>
    <w:multiLevelType w:val="hybridMultilevel"/>
    <w:tmpl w:val="B63E12C6"/>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nsid w:val="1F873CCB"/>
    <w:multiLevelType w:val="multilevel"/>
    <w:tmpl w:val="E56297B4"/>
    <w:lvl w:ilvl="0">
      <w:start w:val="1"/>
      <w:numFmt w:val="lowerLetter"/>
      <w:lvlText w:val="%1."/>
      <w:lvlJc w:val="left"/>
      <w:pPr>
        <w:ind w:left="719" w:firstLine="0"/>
      </w:pPr>
      <w:rPr>
        <w:rFonts w:ascii="Arial" w:eastAsia="Arial" w:hAnsi="Arial" w:cs="Symbol"/>
        <w:vertAlign w:val="baseline"/>
      </w:rPr>
    </w:lvl>
    <w:lvl w:ilvl="1">
      <w:start w:val="1"/>
      <w:numFmt w:val="lowerLetter"/>
      <w:lvlText w:val="%2."/>
      <w:lvlJc w:val="left"/>
      <w:pPr>
        <w:ind w:left="1439" w:firstLine="720"/>
      </w:pPr>
      <w:rPr>
        <w:vertAlign w:val="baseline"/>
      </w:rPr>
    </w:lvl>
    <w:lvl w:ilvl="2">
      <w:start w:val="1"/>
      <w:numFmt w:val="lowerRoman"/>
      <w:lvlText w:val="%3."/>
      <w:lvlJc w:val="right"/>
      <w:pPr>
        <w:ind w:left="2159" w:firstLine="1620"/>
      </w:pPr>
      <w:rPr>
        <w:vertAlign w:val="baseline"/>
      </w:rPr>
    </w:lvl>
    <w:lvl w:ilvl="3">
      <w:start w:val="1"/>
      <w:numFmt w:val="decimal"/>
      <w:lvlText w:val="%4."/>
      <w:lvlJc w:val="left"/>
      <w:pPr>
        <w:ind w:left="2879" w:firstLine="2160"/>
      </w:pPr>
      <w:rPr>
        <w:vertAlign w:val="baseline"/>
      </w:rPr>
    </w:lvl>
    <w:lvl w:ilvl="4">
      <w:start w:val="1"/>
      <w:numFmt w:val="lowerLetter"/>
      <w:lvlText w:val="%5."/>
      <w:lvlJc w:val="left"/>
      <w:pPr>
        <w:ind w:left="3599" w:firstLine="2880"/>
      </w:pPr>
      <w:rPr>
        <w:vertAlign w:val="baseline"/>
      </w:rPr>
    </w:lvl>
    <w:lvl w:ilvl="5">
      <w:start w:val="1"/>
      <w:numFmt w:val="lowerRoman"/>
      <w:lvlText w:val="%6."/>
      <w:lvlJc w:val="right"/>
      <w:pPr>
        <w:ind w:left="4319" w:firstLine="3780"/>
      </w:pPr>
      <w:rPr>
        <w:vertAlign w:val="baseline"/>
      </w:rPr>
    </w:lvl>
    <w:lvl w:ilvl="6">
      <w:start w:val="1"/>
      <w:numFmt w:val="decimal"/>
      <w:lvlText w:val="%7."/>
      <w:lvlJc w:val="left"/>
      <w:pPr>
        <w:ind w:left="5039" w:firstLine="4320"/>
      </w:pPr>
      <w:rPr>
        <w:vertAlign w:val="baseline"/>
      </w:rPr>
    </w:lvl>
    <w:lvl w:ilvl="7">
      <w:start w:val="1"/>
      <w:numFmt w:val="lowerLetter"/>
      <w:lvlText w:val="%8."/>
      <w:lvlJc w:val="left"/>
      <w:pPr>
        <w:ind w:left="5759" w:firstLine="5040"/>
      </w:pPr>
      <w:rPr>
        <w:vertAlign w:val="baseline"/>
      </w:rPr>
    </w:lvl>
    <w:lvl w:ilvl="8">
      <w:start w:val="1"/>
      <w:numFmt w:val="lowerRoman"/>
      <w:lvlText w:val="%9."/>
      <w:lvlJc w:val="right"/>
      <w:pPr>
        <w:ind w:left="6479" w:firstLine="5940"/>
      </w:pPr>
      <w:rPr>
        <w:vertAlign w:val="baseline"/>
      </w:rPr>
    </w:lvl>
  </w:abstractNum>
  <w:abstractNum w:abstractNumId="5">
    <w:nsid w:val="20075550"/>
    <w:multiLevelType w:val="hybridMultilevel"/>
    <w:tmpl w:val="6060BB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6">
    <w:nsid w:val="22C81137"/>
    <w:multiLevelType w:val="hybridMultilevel"/>
    <w:tmpl w:val="3D7E9D3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nsid w:val="23DC58A8"/>
    <w:multiLevelType w:val="hybridMultilevel"/>
    <w:tmpl w:val="F7C84BFE"/>
    <w:lvl w:ilvl="0" w:tplc="0C0A0001">
      <w:start w:val="1"/>
      <w:numFmt w:val="bullet"/>
      <w:lvlText w:val=""/>
      <w:lvlJc w:val="left"/>
      <w:pPr>
        <w:ind w:left="1801" w:hanging="360"/>
      </w:pPr>
      <w:rPr>
        <w:rFonts w:ascii="Symbol" w:hAnsi="Symbol" w:hint="default"/>
      </w:rPr>
    </w:lvl>
    <w:lvl w:ilvl="1" w:tplc="0C0A0003" w:tentative="1">
      <w:start w:val="1"/>
      <w:numFmt w:val="bullet"/>
      <w:lvlText w:val="o"/>
      <w:lvlJc w:val="left"/>
      <w:pPr>
        <w:ind w:left="2521" w:hanging="360"/>
      </w:pPr>
      <w:rPr>
        <w:rFonts w:ascii="Courier New" w:hAnsi="Courier New" w:hint="default"/>
      </w:rPr>
    </w:lvl>
    <w:lvl w:ilvl="2" w:tplc="0C0A0005" w:tentative="1">
      <w:start w:val="1"/>
      <w:numFmt w:val="bullet"/>
      <w:lvlText w:val=""/>
      <w:lvlJc w:val="left"/>
      <w:pPr>
        <w:ind w:left="3241" w:hanging="360"/>
      </w:pPr>
      <w:rPr>
        <w:rFonts w:ascii="Wingdings" w:hAnsi="Wingdings" w:hint="default"/>
      </w:rPr>
    </w:lvl>
    <w:lvl w:ilvl="3" w:tplc="0C0A0001" w:tentative="1">
      <w:start w:val="1"/>
      <w:numFmt w:val="bullet"/>
      <w:lvlText w:val=""/>
      <w:lvlJc w:val="left"/>
      <w:pPr>
        <w:ind w:left="3961" w:hanging="360"/>
      </w:pPr>
      <w:rPr>
        <w:rFonts w:ascii="Symbol" w:hAnsi="Symbol" w:hint="default"/>
      </w:rPr>
    </w:lvl>
    <w:lvl w:ilvl="4" w:tplc="0C0A0003" w:tentative="1">
      <w:start w:val="1"/>
      <w:numFmt w:val="bullet"/>
      <w:lvlText w:val="o"/>
      <w:lvlJc w:val="left"/>
      <w:pPr>
        <w:ind w:left="4681" w:hanging="360"/>
      </w:pPr>
      <w:rPr>
        <w:rFonts w:ascii="Courier New" w:hAnsi="Courier New" w:hint="default"/>
      </w:rPr>
    </w:lvl>
    <w:lvl w:ilvl="5" w:tplc="0C0A0005" w:tentative="1">
      <w:start w:val="1"/>
      <w:numFmt w:val="bullet"/>
      <w:lvlText w:val=""/>
      <w:lvlJc w:val="left"/>
      <w:pPr>
        <w:ind w:left="5401" w:hanging="360"/>
      </w:pPr>
      <w:rPr>
        <w:rFonts w:ascii="Wingdings" w:hAnsi="Wingdings" w:hint="default"/>
      </w:rPr>
    </w:lvl>
    <w:lvl w:ilvl="6" w:tplc="0C0A0001" w:tentative="1">
      <w:start w:val="1"/>
      <w:numFmt w:val="bullet"/>
      <w:lvlText w:val=""/>
      <w:lvlJc w:val="left"/>
      <w:pPr>
        <w:ind w:left="6121" w:hanging="360"/>
      </w:pPr>
      <w:rPr>
        <w:rFonts w:ascii="Symbol" w:hAnsi="Symbol" w:hint="default"/>
      </w:rPr>
    </w:lvl>
    <w:lvl w:ilvl="7" w:tplc="0C0A0003" w:tentative="1">
      <w:start w:val="1"/>
      <w:numFmt w:val="bullet"/>
      <w:lvlText w:val="o"/>
      <w:lvlJc w:val="left"/>
      <w:pPr>
        <w:ind w:left="6841" w:hanging="360"/>
      </w:pPr>
      <w:rPr>
        <w:rFonts w:ascii="Courier New" w:hAnsi="Courier New" w:hint="default"/>
      </w:rPr>
    </w:lvl>
    <w:lvl w:ilvl="8" w:tplc="0C0A0005" w:tentative="1">
      <w:start w:val="1"/>
      <w:numFmt w:val="bullet"/>
      <w:lvlText w:val=""/>
      <w:lvlJc w:val="left"/>
      <w:pPr>
        <w:ind w:left="7561" w:hanging="360"/>
      </w:pPr>
      <w:rPr>
        <w:rFonts w:ascii="Wingdings" w:hAnsi="Wingdings" w:hint="default"/>
      </w:rPr>
    </w:lvl>
  </w:abstractNum>
  <w:abstractNum w:abstractNumId="8">
    <w:nsid w:val="351F1D9B"/>
    <w:multiLevelType w:val="hybridMultilevel"/>
    <w:tmpl w:val="2ADC96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370E4406"/>
    <w:multiLevelType w:val="hybridMultilevel"/>
    <w:tmpl w:val="95401E8E"/>
    <w:lvl w:ilvl="0" w:tplc="0C0A0001">
      <w:start w:val="1"/>
      <w:numFmt w:val="bullet"/>
      <w:lvlText w:val=""/>
      <w:lvlJc w:val="left"/>
      <w:pPr>
        <w:ind w:left="1801" w:hanging="360"/>
      </w:pPr>
      <w:rPr>
        <w:rFonts w:ascii="Symbol" w:hAnsi="Symbol" w:hint="default"/>
      </w:rPr>
    </w:lvl>
    <w:lvl w:ilvl="1" w:tplc="0C0A0003" w:tentative="1">
      <w:start w:val="1"/>
      <w:numFmt w:val="bullet"/>
      <w:lvlText w:val="o"/>
      <w:lvlJc w:val="left"/>
      <w:pPr>
        <w:ind w:left="2521" w:hanging="360"/>
      </w:pPr>
      <w:rPr>
        <w:rFonts w:ascii="Courier New" w:hAnsi="Courier New" w:hint="default"/>
      </w:rPr>
    </w:lvl>
    <w:lvl w:ilvl="2" w:tplc="0C0A0005" w:tentative="1">
      <w:start w:val="1"/>
      <w:numFmt w:val="bullet"/>
      <w:lvlText w:val=""/>
      <w:lvlJc w:val="left"/>
      <w:pPr>
        <w:ind w:left="3241" w:hanging="360"/>
      </w:pPr>
      <w:rPr>
        <w:rFonts w:ascii="Wingdings" w:hAnsi="Wingdings" w:hint="default"/>
      </w:rPr>
    </w:lvl>
    <w:lvl w:ilvl="3" w:tplc="0C0A0001" w:tentative="1">
      <w:start w:val="1"/>
      <w:numFmt w:val="bullet"/>
      <w:lvlText w:val=""/>
      <w:lvlJc w:val="left"/>
      <w:pPr>
        <w:ind w:left="3961" w:hanging="360"/>
      </w:pPr>
      <w:rPr>
        <w:rFonts w:ascii="Symbol" w:hAnsi="Symbol" w:hint="default"/>
      </w:rPr>
    </w:lvl>
    <w:lvl w:ilvl="4" w:tplc="0C0A0003" w:tentative="1">
      <w:start w:val="1"/>
      <w:numFmt w:val="bullet"/>
      <w:lvlText w:val="o"/>
      <w:lvlJc w:val="left"/>
      <w:pPr>
        <w:ind w:left="4681" w:hanging="360"/>
      </w:pPr>
      <w:rPr>
        <w:rFonts w:ascii="Courier New" w:hAnsi="Courier New" w:hint="default"/>
      </w:rPr>
    </w:lvl>
    <w:lvl w:ilvl="5" w:tplc="0C0A0005" w:tentative="1">
      <w:start w:val="1"/>
      <w:numFmt w:val="bullet"/>
      <w:lvlText w:val=""/>
      <w:lvlJc w:val="left"/>
      <w:pPr>
        <w:ind w:left="5401" w:hanging="360"/>
      </w:pPr>
      <w:rPr>
        <w:rFonts w:ascii="Wingdings" w:hAnsi="Wingdings" w:hint="default"/>
      </w:rPr>
    </w:lvl>
    <w:lvl w:ilvl="6" w:tplc="0C0A0001" w:tentative="1">
      <w:start w:val="1"/>
      <w:numFmt w:val="bullet"/>
      <w:lvlText w:val=""/>
      <w:lvlJc w:val="left"/>
      <w:pPr>
        <w:ind w:left="6121" w:hanging="360"/>
      </w:pPr>
      <w:rPr>
        <w:rFonts w:ascii="Symbol" w:hAnsi="Symbol" w:hint="default"/>
      </w:rPr>
    </w:lvl>
    <w:lvl w:ilvl="7" w:tplc="0C0A0003" w:tentative="1">
      <w:start w:val="1"/>
      <w:numFmt w:val="bullet"/>
      <w:lvlText w:val="o"/>
      <w:lvlJc w:val="left"/>
      <w:pPr>
        <w:ind w:left="6841" w:hanging="360"/>
      </w:pPr>
      <w:rPr>
        <w:rFonts w:ascii="Courier New" w:hAnsi="Courier New" w:hint="default"/>
      </w:rPr>
    </w:lvl>
    <w:lvl w:ilvl="8" w:tplc="0C0A0005" w:tentative="1">
      <w:start w:val="1"/>
      <w:numFmt w:val="bullet"/>
      <w:lvlText w:val=""/>
      <w:lvlJc w:val="left"/>
      <w:pPr>
        <w:ind w:left="7561" w:hanging="360"/>
      </w:pPr>
      <w:rPr>
        <w:rFonts w:ascii="Wingdings" w:hAnsi="Wingdings" w:hint="default"/>
      </w:rPr>
    </w:lvl>
  </w:abstractNum>
  <w:abstractNum w:abstractNumId="10">
    <w:nsid w:val="381F2E53"/>
    <w:multiLevelType w:val="hybridMultilevel"/>
    <w:tmpl w:val="E4C03C8C"/>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tabs>
          <w:tab w:val="num" w:pos="1788"/>
        </w:tabs>
        <w:ind w:left="1788" w:hanging="360"/>
      </w:pPr>
      <w:rPr>
        <w:rFonts w:ascii="Symbol" w:hAnsi="Symbol" w:hint="default"/>
      </w:r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11">
    <w:nsid w:val="3A547210"/>
    <w:multiLevelType w:val="hybridMultilevel"/>
    <w:tmpl w:val="60A87A00"/>
    <w:lvl w:ilvl="0" w:tplc="0C0A0001">
      <w:start w:val="1"/>
      <w:numFmt w:val="bullet"/>
      <w:lvlText w:val=""/>
      <w:lvlJc w:val="left"/>
      <w:pPr>
        <w:ind w:left="1308" w:hanging="360"/>
      </w:pPr>
      <w:rPr>
        <w:rFonts w:ascii="Symbol" w:hAnsi="Symbol" w:hint="default"/>
      </w:rPr>
    </w:lvl>
    <w:lvl w:ilvl="1" w:tplc="0C0A0003" w:tentative="1">
      <w:start w:val="1"/>
      <w:numFmt w:val="bullet"/>
      <w:lvlText w:val="o"/>
      <w:lvlJc w:val="left"/>
      <w:pPr>
        <w:ind w:left="2028" w:hanging="360"/>
      </w:pPr>
      <w:rPr>
        <w:rFonts w:ascii="Courier New" w:hAnsi="Courier New" w:hint="default"/>
      </w:rPr>
    </w:lvl>
    <w:lvl w:ilvl="2" w:tplc="0C0A0005" w:tentative="1">
      <w:start w:val="1"/>
      <w:numFmt w:val="bullet"/>
      <w:lvlText w:val=""/>
      <w:lvlJc w:val="left"/>
      <w:pPr>
        <w:ind w:left="2748" w:hanging="360"/>
      </w:pPr>
      <w:rPr>
        <w:rFonts w:ascii="Wingdings" w:hAnsi="Wingdings" w:hint="default"/>
      </w:rPr>
    </w:lvl>
    <w:lvl w:ilvl="3" w:tplc="0C0A0001" w:tentative="1">
      <w:start w:val="1"/>
      <w:numFmt w:val="bullet"/>
      <w:lvlText w:val=""/>
      <w:lvlJc w:val="left"/>
      <w:pPr>
        <w:ind w:left="3468" w:hanging="360"/>
      </w:pPr>
      <w:rPr>
        <w:rFonts w:ascii="Symbol" w:hAnsi="Symbol" w:hint="default"/>
      </w:rPr>
    </w:lvl>
    <w:lvl w:ilvl="4" w:tplc="0C0A0003" w:tentative="1">
      <w:start w:val="1"/>
      <w:numFmt w:val="bullet"/>
      <w:lvlText w:val="o"/>
      <w:lvlJc w:val="left"/>
      <w:pPr>
        <w:ind w:left="4188" w:hanging="360"/>
      </w:pPr>
      <w:rPr>
        <w:rFonts w:ascii="Courier New" w:hAnsi="Courier New" w:hint="default"/>
      </w:rPr>
    </w:lvl>
    <w:lvl w:ilvl="5" w:tplc="0C0A0005" w:tentative="1">
      <w:start w:val="1"/>
      <w:numFmt w:val="bullet"/>
      <w:lvlText w:val=""/>
      <w:lvlJc w:val="left"/>
      <w:pPr>
        <w:ind w:left="4908" w:hanging="360"/>
      </w:pPr>
      <w:rPr>
        <w:rFonts w:ascii="Wingdings" w:hAnsi="Wingdings" w:hint="default"/>
      </w:rPr>
    </w:lvl>
    <w:lvl w:ilvl="6" w:tplc="0C0A0001" w:tentative="1">
      <w:start w:val="1"/>
      <w:numFmt w:val="bullet"/>
      <w:lvlText w:val=""/>
      <w:lvlJc w:val="left"/>
      <w:pPr>
        <w:ind w:left="5628" w:hanging="360"/>
      </w:pPr>
      <w:rPr>
        <w:rFonts w:ascii="Symbol" w:hAnsi="Symbol" w:hint="default"/>
      </w:rPr>
    </w:lvl>
    <w:lvl w:ilvl="7" w:tplc="0C0A0003" w:tentative="1">
      <w:start w:val="1"/>
      <w:numFmt w:val="bullet"/>
      <w:lvlText w:val="o"/>
      <w:lvlJc w:val="left"/>
      <w:pPr>
        <w:ind w:left="6348" w:hanging="360"/>
      </w:pPr>
      <w:rPr>
        <w:rFonts w:ascii="Courier New" w:hAnsi="Courier New" w:hint="default"/>
      </w:rPr>
    </w:lvl>
    <w:lvl w:ilvl="8" w:tplc="0C0A0005" w:tentative="1">
      <w:start w:val="1"/>
      <w:numFmt w:val="bullet"/>
      <w:lvlText w:val=""/>
      <w:lvlJc w:val="left"/>
      <w:pPr>
        <w:ind w:left="7068" w:hanging="360"/>
      </w:pPr>
      <w:rPr>
        <w:rFonts w:ascii="Wingdings" w:hAnsi="Wingdings" w:hint="default"/>
      </w:rPr>
    </w:lvl>
  </w:abstractNum>
  <w:abstractNum w:abstractNumId="12">
    <w:nsid w:val="3B8361CA"/>
    <w:multiLevelType w:val="hybridMultilevel"/>
    <w:tmpl w:val="8E5864A0"/>
    <w:lvl w:ilvl="0" w:tplc="0C0A0001">
      <w:start w:val="1"/>
      <w:numFmt w:val="bullet"/>
      <w:lvlText w:val=""/>
      <w:lvlJc w:val="left"/>
      <w:pPr>
        <w:ind w:left="1801" w:hanging="360"/>
      </w:pPr>
      <w:rPr>
        <w:rFonts w:ascii="Symbol" w:hAnsi="Symbol" w:hint="default"/>
      </w:rPr>
    </w:lvl>
    <w:lvl w:ilvl="1" w:tplc="0C0A0003" w:tentative="1">
      <w:start w:val="1"/>
      <w:numFmt w:val="bullet"/>
      <w:lvlText w:val="o"/>
      <w:lvlJc w:val="left"/>
      <w:pPr>
        <w:ind w:left="2521" w:hanging="360"/>
      </w:pPr>
      <w:rPr>
        <w:rFonts w:ascii="Courier New" w:hAnsi="Courier New" w:hint="default"/>
      </w:rPr>
    </w:lvl>
    <w:lvl w:ilvl="2" w:tplc="0C0A0005" w:tentative="1">
      <w:start w:val="1"/>
      <w:numFmt w:val="bullet"/>
      <w:lvlText w:val=""/>
      <w:lvlJc w:val="left"/>
      <w:pPr>
        <w:ind w:left="3241" w:hanging="360"/>
      </w:pPr>
      <w:rPr>
        <w:rFonts w:ascii="Wingdings" w:hAnsi="Wingdings" w:hint="default"/>
      </w:rPr>
    </w:lvl>
    <w:lvl w:ilvl="3" w:tplc="0C0A0001" w:tentative="1">
      <w:start w:val="1"/>
      <w:numFmt w:val="bullet"/>
      <w:lvlText w:val=""/>
      <w:lvlJc w:val="left"/>
      <w:pPr>
        <w:ind w:left="3961" w:hanging="360"/>
      </w:pPr>
      <w:rPr>
        <w:rFonts w:ascii="Symbol" w:hAnsi="Symbol" w:hint="default"/>
      </w:rPr>
    </w:lvl>
    <w:lvl w:ilvl="4" w:tplc="0C0A0003" w:tentative="1">
      <w:start w:val="1"/>
      <w:numFmt w:val="bullet"/>
      <w:lvlText w:val="o"/>
      <w:lvlJc w:val="left"/>
      <w:pPr>
        <w:ind w:left="4681" w:hanging="360"/>
      </w:pPr>
      <w:rPr>
        <w:rFonts w:ascii="Courier New" w:hAnsi="Courier New" w:hint="default"/>
      </w:rPr>
    </w:lvl>
    <w:lvl w:ilvl="5" w:tplc="0C0A0005" w:tentative="1">
      <w:start w:val="1"/>
      <w:numFmt w:val="bullet"/>
      <w:lvlText w:val=""/>
      <w:lvlJc w:val="left"/>
      <w:pPr>
        <w:ind w:left="5401" w:hanging="360"/>
      </w:pPr>
      <w:rPr>
        <w:rFonts w:ascii="Wingdings" w:hAnsi="Wingdings" w:hint="default"/>
      </w:rPr>
    </w:lvl>
    <w:lvl w:ilvl="6" w:tplc="0C0A0001" w:tentative="1">
      <w:start w:val="1"/>
      <w:numFmt w:val="bullet"/>
      <w:lvlText w:val=""/>
      <w:lvlJc w:val="left"/>
      <w:pPr>
        <w:ind w:left="6121" w:hanging="360"/>
      </w:pPr>
      <w:rPr>
        <w:rFonts w:ascii="Symbol" w:hAnsi="Symbol" w:hint="default"/>
      </w:rPr>
    </w:lvl>
    <w:lvl w:ilvl="7" w:tplc="0C0A0003" w:tentative="1">
      <w:start w:val="1"/>
      <w:numFmt w:val="bullet"/>
      <w:lvlText w:val="o"/>
      <w:lvlJc w:val="left"/>
      <w:pPr>
        <w:ind w:left="6841" w:hanging="360"/>
      </w:pPr>
      <w:rPr>
        <w:rFonts w:ascii="Courier New" w:hAnsi="Courier New" w:hint="default"/>
      </w:rPr>
    </w:lvl>
    <w:lvl w:ilvl="8" w:tplc="0C0A0005" w:tentative="1">
      <w:start w:val="1"/>
      <w:numFmt w:val="bullet"/>
      <w:lvlText w:val=""/>
      <w:lvlJc w:val="left"/>
      <w:pPr>
        <w:ind w:left="7561" w:hanging="360"/>
      </w:pPr>
      <w:rPr>
        <w:rFonts w:ascii="Wingdings" w:hAnsi="Wingdings" w:hint="default"/>
      </w:rPr>
    </w:lvl>
  </w:abstractNum>
  <w:abstractNum w:abstractNumId="13">
    <w:nsid w:val="3D37187F"/>
    <w:multiLevelType w:val="multilevel"/>
    <w:tmpl w:val="DFE4B8AE"/>
    <w:lvl w:ilvl="0">
      <w:start w:val="1"/>
      <w:numFmt w:val="decimal"/>
      <w:lvlText w:val="%1."/>
      <w:lvlJc w:val="left"/>
      <w:pPr>
        <w:ind w:left="360" w:firstLine="0"/>
      </w:pPr>
      <w:rPr>
        <w:b/>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4">
    <w:nsid w:val="3D4C5907"/>
    <w:multiLevelType w:val="hybridMultilevel"/>
    <w:tmpl w:val="8560354C"/>
    <w:lvl w:ilvl="0" w:tplc="F556AFD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499E758C"/>
    <w:multiLevelType w:val="hybridMultilevel"/>
    <w:tmpl w:val="A9EAE40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Arial"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Arial"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Arial" w:hint="default"/>
      </w:rPr>
    </w:lvl>
    <w:lvl w:ilvl="8" w:tplc="240A0005" w:tentative="1">
      <w:start w:val="1"/>
      <w:numFmt w:val="bullet"/>
      <w:lvlText w:val=""/>
      <w:lvlJc w:val="left"/>
      <w:pPr>
        <w:ind w:left="6828" w:hanging="360"/>
      </w:pPr>
      <w:rPr>
        <w:rFonts w:ascii="Wingdings" w:hAnsi="Wingdings" w:hint="default"/>
      </w:rPr>
    </w:lvl>
  </w:abstractNum>
  <w:abstractNum w:abstractNumId="16">
    <w:nsid w:val="4D0E4C3C"/>
    <w:multiLevelType w:val="multilevel"/>
    <w:tmpl w:val="BFE8ABFE"/>
    <w:lvl w:ilvl="0">
      <w:start w:val="1"/>
      <w:numFmt w:val="decimal"/>
      <w:lvlText w:val="%1."/>
      <w:lvlJc w:val="left"/>
      <w:pPr>
        <w:ind w:left="720" w:firstLine="360"/>
      </w:pPr>
      <w:rPr>
        <w:b/>
      </w:rPr>
    </w:lvl>
    <w:lvl w:ilvl="1">
      <w:start w:val="1"/>
      <w:numFmt w:val="bullet"/>
      <w:lvlText w:val="o"/>
      <w:lvlJc w:val="left"/>
      <w:pPr>
        <w:ind w:left="1440" w:firstLine="1080"/>
      </w:pPr>
      <w:rPr>
        <w:rFonts w:ascii="Arial" w:eastAsia="Arial" w:hAnsi="Arial" w:cs="Symbol"/>
      </w:rPr>
    </w:lvl>
    <w:lvl w:ilvl="2">
      <w:start w:val="1"/>
      <w:numFmt w:val="bullet"/>
      <w:lvlText w:val="▪"/>
      <w:lvlJc w:val="left"/>
      <w:pPr>
        <w:ind w:left="2160" w:firstLine="1800"/>
      </w:pPr>
      <w:rPr>
        <w:rFonts w:ascii="Arial" w:eastAsia="Arial" w:hAnsi="Arial" w:cs="Symbol"/>
      </w:rPr>
    </w:lvl>
    <w:lvl w:ilvl="3">
      <w:start w:val="1"/>
      <w:numFmt w:val="bullet"/>
      <w:lvlText w:val="●"/>
      <w:lvlJc w:val="left"/>
      <w:pPr>
        <w:ind w:left="2880" w:firstLine="2520"/>
      </w:pPr>
      <w:rPr>
        <w:rFonts w:ascii="Arial" w:eastAsia="Arial" w:hAnsi="Arial" w:cs="Symbol"/>
      </w:rPr>
    </w:lvl>
    <w:lvl w:ilvl="4">
      <w:start w:val="1"/>
      <w:numFmt w:val="bullet"/>
      <w:lvlText w:val="o"/>
      <w:lvlJc w:val="left"/>
      <w:pPr>
        <w:ind w:left="3600" w:firstLine="3240"/>
      </w:pPr>
      <w:rPr>
        <w:rFonts w:ascii="Arial" w:eastAsia="Arial" w:hAnsi="Arial" w:cs="Symbol"/>
      </w:rPr>
    </w:lvl>
    <w:lvl w:ilvl="5">
      <w:start w:val="1"/>
      <w:numFmt w:val="bullet"/>
      <w:lvlText w:val="▪"/>
      <w:lvlJc w:val="left"/>
      <w:pPr>
        <w:ind w:left="4320" w:firstLine="3960"/>
      </w:pPr>
      <w:rPr>
        <w:rFonts w:ascii="Arial" w:eastAsia="Arial" w:hAnsi="Arial" w:cs="Symbol"/>
      </w:rPr>
    </w:lvl>
    <w:lvl w:ilvl="6">
      <w:start w:val="1"/>
      <w:numFmt w:val="bullet"/>
      <w:lvlText w:val="●"/>
      <w:lvlJc w:val="left"/>
      <w:pPr>
        <w:ind w:left="5040" w:firstLine="4680"/>
      </w:pPr>
      <w:rPr>
        <w:rFonts w:ascii="Arial" w:eastAsia="Arial" w:hAnsi="Arial" w:cs="Symbol"/>
      </w:rPr>
    </w:lvl>
    <w:lvl w:ilvl="7">
      <w:start w:val="1"/>
      <w:numFmt w:val="bullet"/>
      <w:lvlText w:val="o"/>
      <w:lvlJc w:val="left"/>
      <w:pPr>
        <w:ind w:left="5760" w:firstLine="5400"/>
      </w:pPr>
      <w:rPr>
        <w:rFonts w:ascii="Arial" w:eastAsia="Arial" w:hAnsi="Arial" w:cs="Symbol"/>
      </w:rPr>
    </w:lvl>
    <w:lvl w:ilvl="8">
      <w:start w:val="1"/>
      <w:numFmt w:val="bullet"/>
      <w:lvlText w:val="▪"/>
      <w:lvlJc w:val="left"/>
      <w:pPr>
        <w:ind w:left="6480" w:firstLine="6120"/>
      </w:pPr>
      <w:rPr>
        <w:rFonts w:ascii="Arial" w:eastAsia="Arial" w:hAnsi="Arial" w:cs="Symbol"/>
      </w:rPr>
    </w:lvl>
  </w:abstractNum>
  <w:abstractNum w:abstractNumId="17">
    <w:nsid w:val="4DEF1EF1"/>
    <w:multiLevelType w:val="hybridMultilevel"/>
    <w:tmpl w:val="48E62F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5530DE3"/>
    <w:multiLevelType w:val="hybridMultilevel"/>
    <w:tmpl w:val="F640ABB2"/>
    <w:lvl w:ilvl="0" w:tplc="0C0A0001">
      <w:start w:val="1"/>
      <w:numFmt w:val="bullet"/>
      <w:lvlText w:val=""/>
      <w:lvlJc w:val="left"/>
      <w:pPr>
        <w:ind w:left="1801" w:hanging="360"/>
      </w:pPr>
      <w:rPr>
        <w:rFonts w:ascii="Symbol" w:hAnsi="Symbol" w:hint="default"/>
      </w:rPr>
    </w:lvl>
    <w:lvl w:ilvl="1" w:tplc="0C0A0003" w:tentative="1">
      <w:start w:val="1"/>
      <w:numFmt w:val="bullet"/>
      <w:lvlText w:val="o"/>
      <w:lvlJc w:val="left"/>
      <w:pPr>
        <w:ind w:left="2521" w:hanging="360"/>
      </w:pPr>
      <w:rPr>
        <w:rFonts w:ascii="Courier New" w:hAnsi="Courier New" w:hint="default"/>
      </w:rPr>
    </w:lvl>
    <w:lvl w:ilvl="2" w:tplc="0C0A0005" w:tentative="1">
      <w:start w:val="1"/>
      <w:numFmt w:val="bullet"/>
      <w:lvlText w:val=""/>
      <w:lvlJc w:val="left"/>
      <w:pPr>
        <w:ind w:left="3241" w:hanging="360"/>
      </w:pPr>
      <w:rPr>
        <w:rFonts w:ascii="Wingdings" w:hAnsi="Wingdings" w:hint="default"/>
      </w:rPr>
    </w:lvl>
    <w:lvl w:ilvl="3" w:tplc="0C0A0001" w:tentative="1">
      <w:start w:val="1"/>
      <w:numFmt w:val="bullet"/>
      <w:lvlText w:val=""/>
      <w:lvlJc w:val="left"/>
      <w:pPr>
        <w:ind w:left="3961" w:hanging="360"/>
      </w:pPr>
      <w:rPr>
        <w:rFonts w:ascii="Symbol" w:hAnsi="Symbol" w:hint="default"/>
      </w:rPr>
    </w:lvl>
    <w:lvl w:ilvl="4" w:tplc="0C0A0003" w:tentative="1">
      <w:start w:val="1"/>
      <w:numFmt w:val="bullet"/>
      <w:lvlText w:val="o"/>
      <w:lvlJc w:val="left"/>
      <w:pPr>
        <w:ind w:left="4681" w:hanging="360"/>
      </w:pPr>
      <w:rPr>
        <w:rFonts w:ascii="Courier New" w:hAnsi="Courier New" w:hint="default"/>
      </w:rPr>
    </w:lvl>
    <w:lvl w:ilvl="5" w:tplc="0C0A0005" w:tentative="1">
      <w:start w:val="1"/>
      <w:numFmt w:val="bullet"/>
      <w:lvlText w:val=""/>
      <w:lvlJc w:val="left"/>
      <w:pPr>
        <w:ind w:left="5401" w:hanging="360"/>
      </w:pPr>
      <w:rPr>
        <w:rFonts w:ascii="Wingdings" w:hAnsi="Wingdings" w:hint="default"/>
      </w:rPr>
    </w:lvl>
    <w:lvl w:ilvl="6" w:tplc="0C0A0001" w:tentative="1">
      <w:start w:val="1"/>
      <w:numFmt w:val="bullet"/>
      <w:lvlText w:val=""/>
      <w:lvlJc w:val="left"/>
      <w:pPr>
        <w:ind w:left="6121" w:hanging="360"/>
      </w:pPr>
      <w:rPr>
        <w:rFonts w:ascii="Symbol" w:hAnsi="Symbol" w:hint="default"/>
      </w:rPr>
    </w:lvl>
    <w:lvl w:ilvl="7" w:tplc="0C0A0003" w:tentative="1">
      <w:start w:val="1"/>
      <w:numFmt w:val="bullet"/>
      <w:lvlText w:val="o"/>
      <w:lvlJc w:val="left"/>
      <w:pPr>
        <w:ind w:left="6841" w:hanging="360"/>
      </w:pPr>
      <w:rPr>
        <w:rFonts w:ascii="Courier New" w:hAnsi="Courier New" w:hint="default"/>
      </w:rPr>
    </w:lvl>
    <w:lvl w:ilvl="8" w:tplc="0C0A0005" w:tentative="1">
      <w:start w:val="1"/>
      <w:numFmt w:val="bullet"/>
      <w:lvlText w:val=""/>
      <w:lvlJc w:val="left"/>
      <w:pPr>
        <w:ind w:left="7561" w:hanging="360"/>
      </w:pPr>
      <w:rPr>
        <w:rFonts w:ascii="Wingdings" w:hAnsi="Wingdings" w:hint="default"/>
      </w:rPr>
    </w:lvl>
  </w:abstractNum>
  <w:abstractNum w:abstractNumId="19">
    <w:nsid w:val="5F2C6D69"/>
    <w:multiLevelType w:val="hybridMultilevel"/>
    <w:tmpl w:val="3FC844A0"/>
    <w:lvl w:ilvl="0" w:tplc="0C0A000F">
      <w:start w:val="1"/>
      <w:numFmt w:val="decimal"/>
      <w:lvlText w:val="%1."/>
      <w:lvlJc w:val="left"/>
      <w:pPr>
        <w:tabs>
          <w:tab w:val="num" w:pos="360"/>
        </w:tabs>
        <w:ind w:left="360" w:hanging="360"/>
      </w:pPr>
      <w:rPr>
        <w:rFonts w:hint="default"/>
      </w:rPr>
    </w:lvl>
    <w:lvl w:ilvl="1" w:tplc="0C0A0005">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66C72FE6"/>
    <w:multiLevelType w:val="hybridMultilevel"/>
    <w:tmpl w:val="8984ECE0"/>
    <w:lvl w:ilvl="0" w:tplc="0C0A0001">
      <w:start w:val="1"/>
      <w:numFmt w:val="bullet"/>
      <w:lvlText w:val=""/>
      <w:lvlJc w:val="left"/>
      <w:pPr>
        <w:ind w:left="1801" w:hanging="360"/>
      </w:pPr>
      <w:rPr>
        <w:rFonts w:ascii="Symbol" w:hAnsi="Symbol" w:hint="default"/>
      </w:rPr>
    </w:lvl>
    <w:lvl w:ilvl="1" w:tplc="0C0A0003" w:tentative="1">
      <w:start w:val="1"/>
      <w:numFmt w:val="bullet"/>
      <w:lvlText w:val="o"/>
      <w:lvlJc w:val="left"/>
      <w:pPr>
        <w:ind w:left="2521" w:hanging="360"/>
      </w:pPr>
      <w:rPr>
        <w:rFonts w:ascii="Courier New" w:hAnsi="Courier New" w:hint="default"/>
      </w:rPr>
    </w:lvl>
    <w:lvl w:ilvl="2" w:tplc="0C0A0005" w:tentative="1">
      <w:start w:val="1"/>
      <w:numFmt w:val="bullet"/>
      <w:lvlText w:val=""/>
      <w:lvlJc w:val="left"/>
      <w:pPr>
        <w:ind w:left="3241" w:hanging="360"/>
      </w:pPr>
      <w:rPr>
        <w:rFonts w:ascii="Wingdings" w:hAnsi="Wingdings" w:hint="default"/>
      </w:rPr>
    </w:lvl>
    <w:lvl w:ilvl="3" w:tplc="0C0A0001" w:tentative="1">
      <w:start w:val="1"/>
      <w:numFmt w:val="bullet"/>
      <w:lvlText w:val=""/>
      <w:lvlJc w:val="left"/>
      <w:pPr>
        <w:ind w:left="3961" w:hanging="360"/>
      </w:pPr>
      <w:rPr>
        <w:rFonts w:ascii="Symbol" w:hAnsi="Symbol" w:hint="default"/>
      </w:rPr>
    </w:lvl>
    <w:lvl w:ilvl="4" w:tplc="0C0A0003" w:tentative="1">
      <w:start w:val="1"/>
      <w:numFmt w:val="bullet"/>
      <w:lvlText w:val="o"/>
      <w:lvlJc w:val="left"/>
      <w:pPr>
        <w:ind w:left="4681" w:hanging="360"/>
      </w:pPr>
      <w:rPr>
        <w:rFonts w:ascii="Courier New" w:hAnsi="Courier New" w:hint="default"/>
      </w:rPr>
    </w:lvl>
    <w:lvl w:ilvl="5" w:tplc="0C0A0005" w:tentative="1">
      <w:start w:val="1"/>
      <w:numFmt w:val="bullet"/>
      <w:lvlText w:val=""/>
      <w:lvlJc w:val="left"/>
      <w:pPr>
        <w:ind w:left="5401" w:hanging="360"/>
      </w:pPr>
      <w:rPr>
        <w:rFonts w:ascii="Wingdings" w:hAnsi="Wingdings" w:hint="default"/>
      </w:rPr>
    </w:lvl>
    <w:lvl w:ilvl="6" w:tplc="0C0A0001" w:tentative="1">
      <w:start w:val="1"/>
      <w:numFmt w:val="bullet"/>
      <w:lvlText w:val=""/>
      <w:lvlJc w:val="left"/>
      <w:pPr>
        <w:ind w:left="6121" w:hanging="360"/>
      </w:pPr>
      <w:rPr>
        <w:rFonts w:ascii="Symbol" w:hAnsi="Symbol" w:hint="default"/>
      </w:rPr>
    </w:lvl>
    <w:lvl w:ilvl="7" w:tplc="0C0A0003" w:tentative="1">
      <w:start w:val="1"/>
      <w:numFmt w:val="bullet"/>
      <w:lvlText w:val="o"/>
      <w:lvlJc w:val="left"/>
      <w:pPr>
        <w:ind w:left="6841" w:hanging="360"/>
      </w:pPr>
      <w:rPr>
        <w:rFonts w:ascii="Courier New" w:hAnsi="Courier New" w:hint="default"/>
      </w:rPr>
    </w:lvl>
    <w:lvl w:ilvl="8" w:tplc="0C0A0005" w:tentative="1">
      <w:start w:val="1"/>
      <w:numFmt w:val="bullet"/>
      <w:lvlText w:val=""/>
      <w:lvlJc w:val="left"/>
      <w:pPr>
        <w:ind w:left="7561" w:hanging="360"/>
      </w:pPr>
      <w:rPr>
        <w:rFonts w:ascii="Wingdings" w:hAnsi="Wingdings" w:hint="default"/>
      </w:rPr>
    </w:lvl>
  </w:abstractNum>
  <w:abstractNum w:abstractNumId="21">
    <w:nsid w:val="6B950843"/>
    <w:multiLevelType w:val="multilevel"/>
    <w:tmpl w:val="4E2EBE14"/>
    <w:lvl w:ilvl="0">
      <w:start w:val="1"/>
      <w:numFmt w:val="decimal"/>
      <w:lvlText w:val="%1."/>
      <w:lvlJc w:val="left"/>
      <w:pPr>
        <w:ind w:left="360" w:firstLine="0"/>
      </w:pPr>
      <w:rPr>
        <w:b/>
        <w:vertAlign w:val="baseline"/>
      </w:rPr>
    </w:lvl>
    <w:lvl w:ilvl="1">
      <w:start w:val="1"/>
      <w:numFmt w:val="lowerLetter"/>
      <w:lvlText w:val="%2."/>
      <w:lvlJc w:val="left"/>
      <w:pPr>
        <w:ind w:left="1080" w:firstLine="720"/>
      </w:pPr>
      <w:rPr>
        <w:vertAlign w:val="baseline"/>
      </w:rPr>
    </w:lvl>
    <w:lvl w:ilvl="2">
      <w:start w:val="1"/>
      <w:numFmt w:val="bullet"/>
      <w:lvlText w:val="●"/>
      <w:lvlJc w:val="left"/>
      <w:pPr>
        <w:ind w:left="1980" w:firstLine="1620"/>
      </w:pPr>
      <w:rPr>
        <w:rFonts w:ascii="Arial" w:eastAsia="Arial" w:hAnsi="Arial" w:cs="Symbol"/>
        <w:b/>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22">
    <w:nsid w:val="6CBD5B40"/>
    <w:multiLevelType w:val="hybridMultilevel"/>
    <w:tmpl w:val="FBD6EE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75E529CA"/>
    <w:multiLevelType w:val="hybridMultilevel"/>
    <w:tmpl w:val="A5543334"/>
    <w:lvl w:ilvl="0" w:tplc="210C41D4">
      <w:start w:val="1"/>
      <w:numFmt w:val="decimal"/>
      <w:lvlText w:val="%1."/>
      <w:lvlJc w:val="left"/>
      <w:pPr>
        <w:tabs>
          <w:tab w:val="num" w:pos="360"/>
        </w:tabs>
        <w:ind w:left="360" w:hanging="360"/>
      </w:pPr>
      <w:rPr>
        <w:rFonts w:hint="default"/>
      </w:rPr>
    </w:lvl>
    <w:lvl w:ilvl="1" w:tplc="75466C74">
      <w:start w:val="6"/>
      <w:numFmt w:val="bullet"/>
      <w:lvlText w:val="-"/>
      <w:lvlJc w:val="left"/>
      <w:pPr>
        <w:tabs>
          <w:tab w:val="num" w:pos="1080"/>
        </w:tabs>
        <w:ind w:left="1080" w:hanging="360"/>
      </w:pPr>
      <w:rPr>
        <w:rFonts w:ascii="Times New Roman" w:eastAsia="Times New Roman" w:hAnsi="Times New Roman" w:cs="Times New Roman" w:hint="default"/>
      </w:rPr>
    </w:lvl>
    <w:lvl w:ilvl="2" w:tplc="0C0A000F">
      <w:start w:val="1"/>
      <w:numFmt w:val="decimal"/>
      <w:lvlText w:val="%3."/>
      <w:lvlJc w:val="left"/>
      <w:pPr>
        <w:tabs>
          <w:tab w:val="num" w:pos="1800"/>
        </w:tabs>
        <w:ind w:left="1800" w:hanging="360"/>
      </w:pPr>
      <w:rPr>
        <w:rFont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4">
    <w:nsid w:val="7AB70AA3"/>
    <w:multiLevelType w:val="hybridMultilevel"/>
    <w:tmpl w:val="3690BB9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5">
    <w:nsid w:val="7B250826"/>
    <w:multiLevelType w:val="hybridMultilevel"/>
    <w:tmpl w:val="2ADC96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2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lvlOverride w:ilvl="2"/>
    <w:lvlOverride w:ilvl="3"/>
    <w:lvlOverride w:ilvl="4"/>
    <w:lvlOverride w:ilvl="5"/>
    <w:lvlOverride w:ilvl="6"/>
    <w:lvlOverride w:ilvl="7"/>
    <w:lvlOverride w:ilvl="8"/>
  </w:num>
  <w:num w:numId="14">
    <w:abstractNumId w:val="20"/>
  </w:num>
  <w:num w:numId="15">
    <w:abstractNumId w:val="7"/>
  </w:num>
  <w:num w:numId="16">
    <w:abstractNumId w:val="9"/>
  </w:num>
  <w:num w:numId="17">
    <w:abstractNumId w:val="12"/>
  </w:num>
  <w:num w:numId="18">
    <w:abstractNumId w:val="18"/>
  </w:num>
  <w:num w:numId="19">
    <w:abstractNumId w:val="23"/>
  </w:num>
  <w:num w:numId="20">
    <w:abstractNumId w:val="14"/>
  </w:num>
  <w:num w:numId="21">
    <w:abstractNumId w:val="2"/>
  </w:num>
  <w:num w:numId="22">
    <w:abstractNumId w:val="1"/>
  </w:num>
  <w:num w:numId="23">
    <w:abstractNumId w:val="0"/>
  </w:num>
  <w:num w:numId="24">
    <w:abstractNumId w:val="8"/>
  </w:num>
  <w:num w:numId="25">
    <w:abstractNumId w:val="22"/>
  </w:num>
  <w:num w:numId="26">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7A7"/>
    <w:rsid w:val="00001DE6"/>
    <w:rsid w:val="00003362"/>
    <w:rsid w:val="000040B0"/>
    <w:rsid w:val="0000777F"/>
    <w:rsid w:val="0001666B"/>
    <w:rsid w:val="00016E84"/>
    <w:rsid w:val="00041295"/>
    <w:rsid w:val="00054906"/>
    <w:rsid w:val="00067555"/>
    <w:rsid w:val="00074363"/>
    <w:rsid w:val="00074C04"/>
    <w:rsid w:val="00076B8D"/>
    <w:rsid w:val="0009184B"/>
    <w:rsid w:val="000B56E6"/>
    <w:rsid w:val="000B7AC7"/>
    <w:rsid w:val="000D7DC1"/>
    <w:rsid w:val="000E0287"/>
    <w:rsid w:val="000E6D84"/>
    <w:rsid w:val="000E755B"/>
    <w:rsid w:val="000F7870"/>
    <w:rsid w:val="001024D6"/>
    <w:rsid w:val="00103E22"/>
    <w:rsid w:val="00104F58"/>
    <w:rsid w:val="00121305"/>
    <w:rsid w:val="001303D1"/>
    <w:rsid w:val="0013243D"/>
    <w:rsid w:val="00175F96"/>
    <w:rsid w:val="00177E70"/>
    <w:rsid w:val="00186D82"/>
    <w:rsid w:val="00196450"/>
    <w:rsid w:val="001A17CF"/>
    <w:rsid w:val="001A3957"/>
    <w:rsid w:val="001B2B62"/>
    <w:rsid w:val="001B6094"/>
    <w:rsid w:val="001C19A5"/>
    <w:rsid w:val="001D530C"/>
    <w:rsid w:val="001F3CE0"/>
    <w:rsid w:val="00205593"/>
    <w:rsid w:val="002457E4"/>
    <w:rsid w:val="00247312"/>
    <w:rsid w:val="00252462"/>
    <w:rsid w:val="00255E39"/>
    <w:rsid w:val="00256BBD"/>
    <w:rsid w:val="00284F53"/>
    <w:rsid w:val="00293AD9"/>
    <w:rsid w:val="00297FE5"/>
    <w:rsid w:val="002A59CF"/>
    <w:rsid w:val="002D1D63"/>
    <w:rsid w:val="002D2A43"/>
    <w:rsid w:val="002D40A0"/>
    <w:rsid w:val="002E295A"/>
    <w:rsid w:val="002E6ED2"/>
    <w:rsid w:val="002F362C"/>
    <w:rsid w:val="002F5CFF"/>
    <w:rsid w:val="002F71EA"/>
    <w:rsid w:val="00320FD8"/>
    <w:rsid w:val="0032447E"/>
    <w:rsid w:val="0033536F"/>
    <w:rsid w:val="003413CC"/>
    <w:rsid w:val="003535A3"/>
    <w:rsid w:val="00354ED0"/>
    <w:rsid w:val="00360192"/>
    <w:rsid w:val="0036236B"/>
    <w:rsid w:val="003674C2"/>
    <w:rsid w:val="00387036"/>
    <w:rsid w:val="003912E4"/>
    <w:rsid w:val="003A1EBA"/>
    <w:rsid w:val="003B5CAA"/>
    <w:rsid w:val="003C29A1"/>
    <w:rsid w:val="003C60A1"/>
    <w:rsid w:val="003E67A7"/>
    <w:rsid w:val="00426957"/>
    <w:rsid w:val="00432ED5"/>
    <w:rsid w:val="004345AA"/>
    <w:rsid w:val="00460571"/>
    <w:rsid w:val="0046133A"/>
    <w:rsid w:val="004634B1"/>
    <w:rsid w:val="00480F2B"/>
    <w:rsid w:val="00483920"/>
    <w:rsid w:val="00484E93"/>
    <w:rsid w:val="004A02B8"/>
    <w:rsid w:val="004A3452"/>
    <w:rsid w:val="004A59C6"/>
    <w:rsid w:val="004B1781"/>
    <w:rsid w:val="004B3D35"/>
    <w:rsid w:val="004C4E79"/>
    <w:rsid w:val="004C5445"/>
    <w:rsid w:val="004D2322"/>
    <w:rsid w:val="004F7983"/>
    <w:rsid w:val="00507AC7"/>
    <w:rsid w:val="00522064"/>
    <w:rsid w:val="00527026"/>
    <w:rsid w:val="00535D81"/>
    <w:rsid w:val="00551FE4"/>
    <w:rsid w:val="005577A3"/>
    <w:rsid w:val="00564F11"/>
    <w:rsid w:val="00571155"/>
    <w:rsid w:val="00597921"/>
    <w:rsid w:val="005A27A2"/>
    <w:rsid w:val="005C3491"/>
    <w:rsid w:val="005C532C"/>
    <w:rsid w:val="005D0560"/>
    <w:rsid w:val="005F7F4C"/>
    <w:rsid w:val="00607EEF"/>
    <w:rsid w:val="00615090"/>
    <w:rsid w:val="006158EF"/>
    <w:rsid w:val="00617476"/>
    <w:rsid w:val="0062026E"/>
    <w:rsid w:val="006275FF"/>
    <w:rsid w:val="006378F7"/>
    <w:rsid w:val="00642BCB"/>
    <w:rsid w:val="00644B85"/>
    <w:rsid w:val="00652AA9"/>
    <w:rsid w:val="006555F5"/>
    <w:rsid w:val="006557C3"/>
    <w:rsid w:val="0067005F"/>
    <w:rsid w:val="0067052A"/>
    <w:rsid w:val="006756E1"/>
    <w:rsid w:val="006821AA"/>
    <w:rsid w:val="0069105A"/>
    <w:rsid w:val="006917D6"/>
    <w:rsid w:val="00691E23"/>
    <w:rsid w:val="006A1F56"/>
    <w:rsid w:val="006B12D1"/>
    <w:rsid w:val="006B3DF2"/>
    <w:rsid w:val="006B4F08"/>
    <w:rsid w:val="006C385F"/>
    <w:rsid w:val="006C3ACE"/>
    <w:rsid w:val="006D7A4D"/>
    <w:rsid w:val="006E15BC"/>
    <w:rsid w:val="006F116A"/>
    <w:rsid w:val="007052D1"/>
    <w:rsid w:val="00713962"/>
    <w:rsid w:val="00726A0D"/>
    <w:rsid w:val="00745C6B"/>
    <w:rsid w:val="00752E0A"/>
    <w:rsid w:val="0076172F"/>
    <w:rsid w:val="00764A9B"/>
    <w:rsid w:val="00764DD2"/>
    <w:rsid w:val="00775C21"/>
    <w:rsid w:val="007C06D3"/>
    <w:rsid w:val="007D5F8B"/>
    <w:rsid w:val="007D6D07"/>
    <w:rsid w:val="007E5214"/>
    <w:rsid w:val="007F3B00"/>
    <w:rsid w:val="007F4451"/>
    <w:rsid w:val="007F5682"/>
    <w:rsid w:val="008073FA"/>
    <w:rsid w:val="0082612C"/>
    <w:rsid w:val="0083444F"/>
    <w:rsid w:val="00846CFF"/>
    <w:rsid w:val="00850850"/>
    <w:rsid w:val="008512FE"/>
    <w:rsid w:val="008513A9"/>
    <w:rsid w:val="00866BCE"/>
    <w:rsid w:val="00872B50"/>
    <w:rsid w:val="00883BB1"/>
    <w:rsid w:val="00884DBB"/>
    <w:rsid w:val="008977CA"/>
    <w:rsid w:val="008B6729"/>
    <w:rsid w:val="008B71DC"/>
    <w:rsid w:val="008C1DEA"/>
    <w:rsid w:val="008D1ECD"/>
    <w:rsid w:val="008D206E"/>
    <w:rsid w:val="008D563C"/>
    <w:rsid w:val="008E0FCD"/>
    <w:rsid w:val="008F4898"/>
    <w:rsid w:val="008F4E80"/>
    <w:rsid w:val="00917967"/>
    <w:rsid w:val="00921473"/>
    <w:rsid w:val="009423DF"/>
    <w:rsid w:val="009555A1"/>
    <w:rsid w:val="00960922"/>
    <w:rsid w:val="009660DC"/>
    <w:rsid w:val="0098281B"/>
    <w:rsid w:val="00984755"/>
    <w:rsid w:val="009927AB"/>
    <w:rsid w:val="009A4096"/>
    <w:rsid w:val="009B61D7"/>
    <w:rsid w:val="009D2079"/>
    <w:rsid w:val="009D33D9"/>
    <w:rsid w:val="009D733E"/>
    <w:rsid w:val="009F7832"/>
    <w:rsid w:val="00A23E94"/>
    <w:rsid w:val="00A31AC9"/>
    <w:rsid w:val="00A35909"/>
    <w:rsid w:val="00A46E0C"/>
    <w:rsid w:val="00A55962"/>
    <w:rsid w:val="00A65FD3"/>
    <w:rsid w:val="00A91EA4"/>
    <w:rsid w:val="00A927CB"/>
    <w:rsid w:val="00AA151D"/>
    <w:rsid w:val="00AB1D56"/>
    <w:rsid w:val="00AC5053"/>
    <w:rsid w:val="00AE2C40"/>
    <w:rsid w:val="00AE4B5B"/>
    <w:rsid w:val="00B12BC4"/>
    <w:rsid w:val="00B2594D"/>
    <w:rsid w:val="00B31675"/>
    <w:rsid w:val="00B339BB"/>
    <w:rsid w:val="00B77652"/>
    <w:rsid w:val="00B86316"/>
    <w:rsid w:val="00B92076"/>
    <w:rsid w:val="00B92929"/>
    <w:rsid w:val="00BA3138"/>
    <w:rsid w:val="00BB0385"/>
    <w:rsid w:val="00BC1339"/>
    <w:rsid w:val="00BC68D6"/>
    <w:rsid w:val="00BE035B"/>
    <w:rsid w:val="00BE3CA8"/>
    <w:rsid w:val="00BE5C2E"/>
    <w:rsid w:val="00C004C7"/>
    <w:rsid w:val="00C263FD"/>
    <w:rsid w:val="00C5645C"/>
    <w:rsid w:val="00C57C2B"/>
    <w:rsid w:val="00C7364F"/>
    <w:rsid w:val="00C82E8D"/>
    <w:rsid w:val="00C90034"/>
    <w:rsid w:val="00CC43AF"/>
    <w:rsid w:val="00CC4542"/>
    <w:rsid w:val="00CD2EF0"/>
    <w:rsid w:val="00CE05E9"/>
    <w:rsid w:val="00CF0DFF"/>
    <w:rsid w:val="00D11E81"/>
    <w:rsid w:val="00D202B9"/>
    <w:rsid w:val="00D22B63"/>
    <w:rsid w:val="00D24070"/>
    <w:rsid w:val="00D342A5"/>
    <w:rsid w:val="00D402EC"/>
    <w:rsid w:val="00D40D87"/>
    <w:rsid w:val="00D545A3"/>
    <w:rsid w:val="00D60F5A"/>
    <w:rsid w:val="00D65135"/>
    <w:rsid w:val="00D73B4C"/>
    <w:rsid w:val="00D91AFB"/>
    <w:rsid w:val="00D9394D"/>
    <w:rsid w:val="00DA19ED"/>
    <w:rsid w:val="00DA34EB"/>
    <w:rsid w:val="00DB15D6"/>
    <w:rsid w:val="00DB3FF8"/>
    <w:rsid w:val="00DE4031"/>
    <w:rsid w:val="00DF0782"/>
    <w:rsid w:val="00E06579"/>
    <w:rsid w:val="00E10EC4"/>
    <w:rsid w:val="00E35268"/>
    <w:rsid w:val="00E40991"/>
    <w:rsid w:val="00E418B2"/>
    <w:rsid w:val="00E42AB2"/>
    <w:rsid w:val="00E7090D"/>
    <w:rsid w:val="00E712F3"/>
    <w:rsid w:val="00E723F4"/>
    <w:rsid w:val="00E8316D"/>
    <w:rsid w:val="00EF2A58"/>
    <w:rsid w:val="00F141D0"/>
    <w:rsid w:val="00F31F20"/>
    <w:rsid w:val="00F60F2B"/>
    <w:rsid w:val="00F70173"/>
    <w:rsid w:val="00F72A5E"/>
    <w:rsid w:val="00F76020"/>
    <w:rsid w:val="00F96465"/>
    <w:rsid w:val="00FA04FA"/>
    <w:rsid w:val="00FA071B"/>
    <w:rsid w:val="00FA192A"/>
    <w:rsid w:val="00FD0E7C"/>
    <w:rsid w:val="00FE32D3"/>
    <w:rsid w:val="00FE50EF"/>
    <w:rsid w:val="00FF1C7D"/>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B379DF"/>
  <w15:docId w15:val="{FA697A30-9F03-B741-968D-619FDEE9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0" w:defUnhideWhenUsed="0" w:defQFormat="0" w:count="382">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67A7"/>
    <w:pPr>
      <w:tabs>
        <w:tab w:val="center" w:pos="4419"/>
        <w:tab w:val="right" w:pos="8838"/>
      </w:tabs>
    </w:pPr>
  </w:style>
  <w:style w:type="character" w:customStyle="1" w:styleId="EncabezadoCar">
    <w:name w:val="Encabezado Car"/>
    <w:basedOn w:val="Fuentedeprrafopredeter"/>
    <w:link w:val="Encabezado"/>
    <w:uiPriority w:val="99"/>
    <w:rsid w:val="003E67A7"/>
  </w:style>
  <w:style w:type="paragraph" w:styleId="Piedepgina">
    <w:name w:val="footer"/>
    <w:basedOn w:val="Normal"/>
    <w:link w:val="PiedepginaCar"/>
    <w:uiPriority w:val="99"/>
    <w:unhideWhenUsed/>
    <w:rsid w:val="003E67A7"/>
    <w:pPr>
      <w:tabs>
        <w:tab w:val="center" w:pos="4419"/>
        <w:tab w:val="right" w:pos="8838"/>
      </w:tabs>
    </w:pPr>
  </w:style>
  <w:style w:type="character" w:customStyle="1" w:styleId="PiedepginaCar">
    <w:name w:val="Pie de página Car"/>
    <w:basedOn w:val="Fuentedeprrafopredeter"/>
    <w:link w:val="Piedepgina"/>
    <w:uiPriority w:val="99"/>
    <w:rsid w:val="003E67A7"/>
  </w:style>
  <w:style w:type="paragraph" w:styleId="Textodeglobo">
    <w:name w:val="Balloon Text"/>
    <w:basedOn w:val="Normal"/>
    <w:link w:val="TextodegloboCar"/>
    <w:uiPriority w:val="99"/>
    <w:semiHidden/>
    <w:unhideWhenUsed/>
    <w:rsid w:val="003E67A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E67A7"/>
    <w:rPr>
      <w:rFonts w:ascii="Lucida Grande" w:hAnsi="Lucida Grande" w:cs="Lucida Grande"/>
      <w:sz w:val="18"/>
      <w:szCs w:val="18"/>
    </w:rPr>
  </w:style>
  <w:style w:type="character" w:styleId="Hipervnculo">
    <w:name w:val="Hyperlink"/>
    <w:basedOn w:val="Fuentedeprrafopredeter"/>
    <w:uiPriority w:val="99"/>
    <w:unhideWhenUsed/>
    <w:rsid w:val="004C4E79"/>
    <w:rPr>
      <w:color w:val="0000FF" w:themeColor="hyperlink"/>
      <w:u w:val="single"/>
    </w:rPr>
  </w:style>
  <w:style w:type="paragraph" w:customStyle="1" w:styleId="Normal1">
    <w:name w:val="Normal1"/>
    <w:rsid w:val="00BB0385"/>
    <w:rPr>
      <w:rFonts w:ascii="Times New Roman" w:eastAsia="Times New Roman" w:hAnsi="Times New Roman" w:cs="Times New Roman"/>
      <w:color w:val="000000"/>
      <w:szCs w:val="20"/>
      <w:lang w:val="es-CO"/>
    </w:rPr>
  </w:style>
  <w:style w:type="character" w:styleId="Textodelmarcadordeposicin">
    <w:name w:val="Placeholder Text"/>
    <w:basedOn w:val="Fuentedeprrafopredeter"/>
    <w:uiPriority w:val="99"/>
    <w:semiHidden/>
    <w:rsid w:val="008B71DC"/>
    <w:rPr>
      <w:color w:val="808080"/>
    </w:rPr>
  </w:style>
  <w:style w:type="paragraph" w:styleId="Prrafodelista">
    <w:name w:val="List Paragraph"/>
    <w:basedOn w:val="Normal"/>
    <w:uiPriority w:val="34"/>
    <w:qFormat/>
    <w:rsid w:val="008E0FCD"/>
    <w:pPr>
      <w:ind w:left="720"/>
      <w:contextualSpacing/>
    </w:pPr>
  </w:style>
  <w:style w:type="paragraph" w:customStyle="1" w:styleId="Listamulticolor-nfasis11">
    <w:name w:val="Lista multicolor - Énfasis 11"/>
    <w:basedOn w:val="Normal"/>
    <w:uiPriority w:val="34"/>
    <w:qFormat/>
    <w:rsid w:val="0009184B"/>
    <w:pPr>
      <w:ind w:left="708"/>
    </w:pPr>
    <w:rPr>
      <w:rFonts w:ascii="Times New Roman" w:eastAsia="Times New Roman" w:hAnsi="Times New Roman" w:cs="Times New Roman"/>
      <w:lang w:val="es-ES"/>
    </w:rPr>
  </w:style>
  <w:style w:type="character" w:customStyle="1" w:styleId="apple-converted-space">
    <w:name w:val="apple-converted-space"/>
    <w:basedOn w:val="Fuentedeprrafopredeter"/>
    <w:rsid w:val="00016E84"/>
  </w:style>
  <w:style w:type="character" w:customStyle="1" w:styleId="m-6715070680954126583gmail-msohyperlink">
    <w:name w:val="m_-6715070680954126583gmail-msohyperlink"/>
    <w:basedOn w:val="Fuentedeprrafopredeter"/>
    <w:rsid w:val="0069105A"/>
  </w:style>
  <w:style w:type="table" w:styleId="Tablaconcuadrcula">
    <w:name w:val="Table Grid"/>
    <w:basedOn w:val="Tablanormal"/>
    <w:rsid w:val="00C736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A151D"/>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3632">
      <w:bodyDiv w:val="1"/>
      <w:marLeft w:val="0"/>
      <w:marRight w:val="0"/>
      <w:marTop w:val="0"/>
      <w:marBottom w:val="0"/>
      <w:divBdr>
        <w:top w:val="none" w:sz="0" w:space="0" w:color="auto"/>
        <w:left w:val="none" w:sz="0" w:space="0" w:color="auto"/>
        <w:bottom w:val="none" w:sz="0" w:space="0" w:color="auto"/>
        <w:right w:val="none" w:sz="0" w:space="0" w:color="auto"/>
      </w:divBdr>
    </w:div>
    <w:div w:id="22639186">
      <w:bodyDiv w:val="1"/>
      <w:marLeft w:val="0"/>
      <w:marRight w:val="0"/>
      <w:marTop w:val="0"/>
      <w:marBottom w:val="0"/>
      <w:divBdr>
        <w:top w:val="none" w:sz="0" w:space="0" w:color="auto"/>
        <w:left w:val="none" w:sz="0" w:space="0" w:color="auto"/>
        <w:bottom w:val="none" w:sz="0" w:space="0" w:color="auto"/>
        <w:right w:val="none" w:sz="0" w:space="0" w:color="auto"/>
      </w:divBdr>
    </w:div>
    <w:div w:id="85151052">
      <w:bodyDiv w:val="1"/>
      <w:marLeft w:val="0"/>
      <w:marRight w:val="0"/>
      <w:marTop w:val="0"/>
      <w:marBottom w:val="0"/>
      <w:divBdr>
        <w:top w:val="none" w:sz="0" w:space="0" w:color="auto"/>
        <w:left w:val="none" w:sz="0" w:space="0" w:color="auto"/>
        <w:bottom w:val="none" w:sz="0" w:space="0" w:color="auto"/>
        <w:right w:val="none" w:sz="0" w:space="0" w:color="auto"/>
      </w:divBdr>
    </w:div>
    <w:div w:id="98839675">
      <w:bodyDiv w:val="1"/>
      <w:marLeft w:val="0"/>
      <w:marRight w:val="0"/>
      <w:marTop w:val="0"/>
      <w:marBottom w:val="0"/>
      <w:divBdr>
        <w:top w:val="none" w:sz="0" w:space="0" w:color="auto"/>
        <w:left w:val="none" w:sz="0" w:space="0" w:color="auto"/>
        <w:bottom w:val="none" w:sz="0" w:space="0" w:color="auto"/>
        <w:right w:val="none" w:sz="0" w:space="0" w:color="auto"/>
      </w:divBdr>
    </w:div>
    <w:div w:id="200631263">
      <w:bodyDiv w:val="1"/>
      <w:marLeft w:val="0"/>
      <w:marRight w:val="0"/>
      <w:marTop w:val="0"/>
      <w:marBottom w:val="0"/>
      <w:divBdr>
        <w:top w:val="none" w:sz="0" w:space="0" w:color="auto"/>
        <w:left w:val="none" w:sz="0" w:space="0" w:color="auto"/>
        <w:bottom w:val="none" w:sz="0" w:space="0" w:color="auto"/>
        <w:right w:val="none" w:sz="0" w:space="0" w:color="auto"/>
      </w:divBdr>
    </w:div>
    <w:div w:id="201750172">
      <w:bodyDiv w:val="1"/>
      <w:marLeft w:val="0"/>
      <w:marRight w:val="0"/>
      <w:marTop w:val="0"/>
      <w:marBottom w:val="0"/>
      <w:divBdr>
        <w:top w:val="none" w:sz="0" w:space="0" w:color="auto"/>
        <w:left w:val="none" w:sz="0" w:space="0" w:color="auto"/>
        <w:bottom w:val="none" w:sz="0" w:space="0" w:color="auto"/>
        <w:right w:val="none" w:sz="0" w:space="0" w:color="auto"/>
      </w:divBdr>
    </w:div>
    <w:div w:id="292366863">
      <w:bodyDiv w:val="1"/>
      <w:marLeft w:val="0"/>
      <w:marRight w:val="0"/>
      <w:marTop w:val="0"/>
      <w:marBottom w:val="0"/>
      <w:divBdr>
        <w:top w:val="none" w:sz="0" w:space="0" w:color="auto"/>
        <w:left w:val="none" w:sz="0" w:space="0" w:color="auto"/>
        <w:bottom w:val="none" w:sz="0" w:space="0" w:color="auto"/>
        <w:right w:val="none" w:sz="0" w:space="0" w:color="auto"/>
      </w:divBdr>
    </w:div>
    <w:div w:id="318920085">
      <w:bodyDiv w:val="1"/>
      <w:marLeft w:val="0"/>
      <w:marRight w:val="0"/>
      <w:marTop w:val="0"/>
      <w:marBottom w:val="0"/>
      <w:divBdr>
        <w:top w:val="none" w:sz="0" w:space="0" w:color="auto"/>
        <w:left w:val="none" w:sz="0" w:space="0" w:color="auto"/>
        <w:bottom w:val="none" w:sz="0" w:space="0" w:color="auto"/>
        <w:right w:val="none" w:sz="0" w:space="0" w:color="auto"/>
      </w:divBdr>
    </w:div>
    <w:div w:id="351344026">
      <w:bodyDiv w:val="1"/>
      <w:marLeft w:val="0"/>
      <w:marRight w:val="0"/>
      <w:marTop w:val="0"/>
      <w:marBottom w:val="0"/>
      <w:divBdr>
        <w:top w:val="none" w:sz="0" w:space="0" w:color="auto"/>
        <w:left w:val="none" w:sz="0" w:space="0" w:color="auto"/>
        <w:bottom w:val="none" w:sz="0" w:space="0" w:color="auto"/>
        <w:right w:val="none" w:sz="0" w:space="0" w:color="auto"/>
      </w:divBdr>
    </w:div>
    <w:div w:id="519004024">
      <w:bodyDiv w:val="1"/>
      <w:marLeft w:val="0"/>
      <w:marRight w:val="0"/>
      <w:marTop w:val="0"/>
      <w:marBottom w:val="0"/>
      <w:divBdr>
        <w:top w:val="none" w:sz="0" w:space="0" w:color="auto"/>
        <w:left w:val="none" w:sz="0" w:space="0" w:color="auto"/>
        <w:bottom w:val="none" w:sz="0" w:space="0" w:color="auto"/>
        <w:right w:val="none" w:sz="0" w:space="0" w:color="auto"/>
      </w:divBdr>
    </w:div>
    <w:div w:id="625426155">
      <w:bodyDiv w:val="1"/>
      <w:marLeft w:val="0"/>
      <w:marRight w:val="0"/>
      <w:marTop w:val="0"/>
      <w:marBottom w:val="0"/>
      <w:divBdr>
        <w:top w:val="none" w:sz="0" w:space="0" w:color="auto"/>
        <w:left w:val="none" w:sz="0" w:space="0" w:color="auto"/>
        <w:bottom w:val="none" w:sz="0" w:space="0" w:color="auto"/>
        <w:right w:val="none" w:sz="0" w:space="0" w:color="auto"/>
      </w:divBdr>
    </w:div>
    <w:div w:id="665859807">
      <w:bodyDiv w:val="1"/>
      <w:marLeft w:val="0"/>
      <w:marRight w:val="0"/>
      <w:marTop w:val="0"/>
      <w:marBottom w:val="0"/>
      <w:divBdr>
        <w:top w:val="none" w:sz="0" w:space="0" w:color="auto"/>
        <w:left w:val="none" w:sz="0" w:space="0" w:color="auto"/>
        <w:bottom w:val="none" w:sz="0" w:space="0" w:color="auto"/>
        <w:right w:val="none" w:sz="0" w:space="0" w:color="auto"/>
      </w:divBdr>
    </w:div>
    <w:div w:id="713964708">
      <w:bodyDiv w:val="1"/>
      <w:marLeft w:val="0"/>
      <w:marRight w:val="0"/>
      <w:marTop w:val="0"/>
      <w:marBottom w:val="0"/>
      <w:divBdr>
        <w:top w:val="none" w:sz="0" w:space="0" w:color="auto"/>
        <w:left w:val="none" w:sz="0" w:space="0" w:color="auto"/>
        <w:bottom w:val="none" w:sz="0" w:space="0" w:color="auto"/>
        <w:right w:val="none" w:sz="0" w:space="0" w:color="auto"/>
      </w:divBdr>
    </w:div>
    <w:div w:id="741028357">
      <w:bodyDiv w:val="1"/>
      <w:marLeft w:val="0"/>
      <w:marRight w:val="0"/>
      <w:marTop w:val="0"/>
      <w:marBottom w:val="0"/>
      <w:divBdr>
        <w:top w:val="none" w:sz="0" w:space="0" w:color="auto"/>
        <w:left w:val="none" w:sz="0" w:space="0" w:color="auto"/>
        <w:bottom w:val="none" w:sz="0" w:space="0" w:color="auto"/>
        <w:right w:val="none" w:sz="0" w:space="0" w:color="auto"/>
      </w:divBdr>
    </w:div>
    <w:div w:id="966157468">
      <w:bodyDiv w:val="1"/>
      <w:marLeft w:val="0"/>
      <w:marRight w:val="0"/>
      <w:marTop w:val="0"/>
      <w:marBottom w:val="0"/>
      <w:divBdr>
        <w:top w:val="none" w:sz="0" w:space="0" w:color="auto"/>
        <w:left w:val="none" w:sz="0" w:space="0" w:color="auto"/>
        <w:bottom w:val="none" w:sz="0" w:space="0" w:color="auto"/>
        <w:right w:val="none" w:sz="0" w:space="0" w:color="auto"/>
      </w:divBdr>
    </w:div>
    <w:div w:id="984315709">
      <w:bodyDiv w:val="1"/>
      <w:marLeft w:val="0"/>
      <w:marRight w:val="0"/>
      <w:marTop w:val="0"/>
      <w:marBottom w:val="0"/>
      <w:divBdr>
        <w:top w:val="none" w:sz="0" w:space="0" w:color="auto"/>
        <w:left w:val="none" w:sz="0" w:space="0" w:color="auto"/>
        <w:bottom w:val="none" w:sz="0" w:space="0" w:color="auto"/>
        <w:right w:val="none" w:sz="0" w:space="0" w:color="auto"/>
      </w:divBdr>
    </w:div>
    <w:div w:id="1330717781">
      <w:bodyDiv w:val="1"/>
      <w:marLeft w:val="0"/>
      <w:marRight w:val="0"/>
      <w:marTop w:val="0"/>
      <w:marBottom w:val="0"/>
      <w:divBdr>
        <w:top w:val="none" w:sz="0" w:space="0" w:color="auto"/>
        <w:left w:val="none" w:sz="0" w:space="0" w:color="auto"/>
        <w:bottom w:val="none" w:sz="0" w:space="0" w:color="auto"/>
        <w:right w:val="none" w:sz="0" w:space="0" w:color="auto"/>
      </w:divBdr>
    </w:div>
    <w:div w:id="1351949027">
      <w:bodyDiv w:val="1"/>
      <w:marLeft w:val="0"/>
      <w:marRight w:val="0"/>
      <w:marTop w:val="0"/>
      <w:marBottom w:val="0"/>
      <w:divBdr>
        <w:top w:val="none" w:sz="0" w:space="0" w:color="auto"/>
        <w:left w:val="none" w:sz="0" w:space="0" w:color="auto"/>
        <w:bottom w:val="none" w:sz="0" w:space="0" w:color="auto"/>
        <w:right w:val="none" w:sz="0" w:space="0" w:color="auto"/>
      </w:divBdr>
    </w:div>
    <w:div w:id="1463381262">
      <w:bodyDiv w:val="1"/>
      <w:marLeft w:val="0"/>
      <w:marRight w:val="0"/>
      <w:marTop w:val="0"/>
      <w:marBottom w:val="0"/>
      <w:divBdr>
        <w:top w:val="none" w:sz="0" w:space="0" w:color="auto"/>
        <w:left w:val="none" w:sz="0" w:space="0" w:color="auto"/>
        <w:bottom w:val="none" w:sz="0" w:space="0" w:color="auto"/>
        <w:right w:val="none" w:sz="0" w:space="0" w:color="auto"/>
      </w:divBdr>
    </w:div>
    <w:div w:id="1507867823">
      <w:bodyDiv w:val="1"/>
      <w:marLeft w:val="0"/>
      <w:marRight w:val="0"/>
      <w:marTop w:val="0"/>
      <w:marBottom w:val="0"/>
      <w:divBdr>
        <w:top w:val="none" w:sz="0" w:space="0" w:color="auto"/>
        <w:left w:val="none" w:sz="0" w:space="0" w:color="auto"/>
        <w:bottom w:val="none" w:sz="0" w:space="0" w:color="auto"/>
        <w:right w:val="none" w:sz="0" w:space="0" w:color="auto"/>
      </w:divBdr>
    </w:div>
    <w:div w:id="1524589704">
      <w:bodyDiv w:val="1"/>
      <w:marLeft w:val="0"/>
      <w:marRight w:val="0"/>
      <w:marTop w:val="0"/>
      <w:marBottom w:val="0"/>
      <w:divBdr>
        <w:top w:val="none" w:sz="0" w:space="0" w:color="auto"/>
        <w:left w:val="none" w:sz="0" w:space="0" w:color="auto"/>
        <w:bottom w:val="none" w:sz="0" w:space="0" w:color="auto"/>
        <w:right w:val="none" w:sz="0" w:space="0" w:color="auto"/>
      </w:divBdr>
    </w:div>
    <w:div w:id="1645230508">
      <w:bodyDiv w:val="1"/>
      <w:marLeft w:val="0"/>
      <w:marRight w:val="0"/>
      <w:marTop w:val="0"/>
      <w:marBottom w:val="0"/>
      <w:divBdr>
        <w:top w:val="none" w:sz="0" w:space="0" w:color="auto"/>
        <w:left w:val="none" w:sz="0" w:space="0" w:color="auto"/>
        <w:bottom w:val="none" w:sz="0" w:space="0" w:color="auto"/>
        <w:right w:val="none" w:sz="0" w:space="0" w:color="auto"/>
      </w:divBdr>
    </w:div>
    <w:div w:id="1662655407">
      <w:bodyDiv w:val="1"/>
      <w:marLeft w:val="0"/>
      <w:marRight w:val="0"/>
      <w:marTop w:val="0"/>
      <w:marBottom w:val="0"/>
      <w:divBdr>
        <w:top w:val="none" w:sz="0" w:space="0" w:color="auto"/>
        <w:left w:val="none" w:sz="0" w:space="0" w:color="auto"/>
        <w:bottom w:val="none" w:sz="0" w:space="0" w:color="auto"/>
        <w:right w:val="none" w:sz="0" w:space="0" w:color="auto"/>
      </w:divBdr>
    </w:div>
    <w:div w:id="1687632691">
      <w:bodyDiv w:val="1"/>
      <w:marLeft w:val="0"/>
      <w:marRight w:val="0"/>
      <w:marTop w:val="0"/>
      <w:marBottom w:val="0"/>
      <w:divBdr>
        <w:top w:val="none" w:sz="0" w:space="0" w:color="auto"/>
        <w:left w:val="none" w:sz="0" w:space="0" w:color="auto"/>
        <w:bottom w:val="none" w:sz="0" w:space="0" w:color="auto"/>
        <w:right w:val="none" w:sz="0" w:space="0" w:color="auto"/>
      </w:divBdr>
    </w:div>
    <w:div w:id="1813869993">
      <w:bodyDiv w:val="1"/>
      <w:marLeft w:val="0"/>
      <w:marRight w:val="0"/>
      <w:marTop w:val="0"/>
      <w:marBottom w:val="0"/>
      <w:divBdr>
        <w:top w:val="none" w:sz="0" w:space="0" w:color="auto"/>
        <w:left w:val="none" w:sz="0" w:space="0" w:color="auto"/>
        <w:bottom w:val="none" w:sz="0" w:space="0" w:color="auto"/>
        <w:right w:val="none" w:sz="0" w:space="0" w:color="auto"/>
      </w:divBdr>
    </w:div>
    <w:div w:id="1820807858">
      <w:bodyDiv w:val="1"/>
      <w:marLeft w:val="0"/>
      <w:marRight w:val="0"/>
      <w:marTop w:val="0"/>
      <w:marBottom w:val="0"/>
      <w:divBdr>
        <w:top w:val="none" w:sz="0" w:space="0" w:color="auto"/>
        <w:left w:val="none" w:sz="0" w:space="0" w:color="auto"/>
        <w:bottom w:val="none" w:sz="0" w:space="0" w:color="auto"/>
        <w:right w:val="none" w:sz="0" w:space="0" w:color="auto"/>
      </w:divBdr>
    </w:div>
    <w:div w:id="1860045851">
      <w:bodyDiv w:val="1"/>
      <w:marLeft w:val="0"/>
      <w:marRight w:val="0"/>
      <w:marTop w:val="0"/>
      <w:marBottom w:val="0"/>
      <w:divBdr>
        <w:top w:val="none" w:sz="0" w:space="0" w:color="auto"/>
        <w:left w:val="none" w:sz="0" w:space="0" w:color="auto"/>
        <w:bottom w:val="none" w:sz="0" w:space="0" w:color="auto"/>
        <w:right w:val="none" w:sz="0" w:space="0" w:color="auto"/>
      </w:divBdr>
    </w:div>
    <w:div w:id="1862892673">
      <w:bodyDiv w:val="1"/>
      <w:marLeft w:val="0"/>
      <w:marRight w:val="0"/>
      <w:marTop w:val="0"/>
      <w:marBottom w:val="0"/>
      <w:divBdr>
        <w:top w:val="none" w:sz="0" w:space="0" w:color="auto"/>
        <w:left w:val="none" w:sz="0" w:space="0" w:color="auto"/>
        <w:bottom w:val="none" w:sz="0" w:space="0" w:color="auto"/>
        <w:right w:val="none" w:sz="0" w:space="0" w:color="auto"/>
      </w:divBdr>
    </w:div>
    <w:div w:id="1913151743">
      <w:bodyDiv w:val="1"/>
      <w:marLeft w:val="0"/>
      <w:marRight w:val="0"/>
      <w:marTop w:val="0"/>
      <w:marBottom w:val="0"/>
      <w:divBdr>
        <w:top w:val="none" w:sz="0" w:space="0" w:color="auto"/>
        <w:left w:val="none" w:sz="0" w:space="0" w:color="auto"/>
        <w:bottom w:val="none" w:sz="0" w:space="0" w:color="auto"/>
        <w:right w:val="none" w:sz="0" w:space="0" w:color="auto"/>
      </w:divBdr>
    </w:div>
    <w:div w:id="1913807055">
      <w:bodyDiv w:val="1"/>
      <w:marLeft w:val="0"/>
      <w:marRight w:val="0"/>
      <w:marTop w:val="0"/>
      <w:marBottom w:val="0"/>
      <w:divBdr>
        <w:top w:val="none" w:sz="0" w:space="0" w:color="auto"/>
        <w:left w:val="none" w:sz="0" w:space="0" w:color="auto"/>
        <w:bottom w:val="none" w:sz="0" w:space="0" w:color="auto"/>
        <w:right w:val="none" w:sz="0" w:space="0" w:color="auto"/>
      </w:divBdr>
    </w:div>
    <w:div w:id="2099594479">
      <w:bodyDiv w:val="1"/>
      <w:marLeft w:val="0"/>
      <w:marRight w:val="0"/>
      <w:marTop w:val="0"/>
      <w:marBottom w:val="0"/>
      <w:divBdr>
        <w:top w:val="none" w:sz="0" w:space="0" w:color="auto"/>
        <w:left w:val="none" w:sz="0" w:space="0" w:color="auto"/>
        <w:bottom w:val="none" w:sz="0" w:space="0" w:color="auto"/>
        <w:right w:val="none" w:sz="0" w:space="0" w:color="auto"/>
      </w:divBdr>
    </w:div>
    <w:div w:id="2122257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5.xml"/><Relationship Id="rId12" Type="http://schemas.openxmlformats.org/officeDocument/2006/relationships/chart" Target="charts/chart6.xml"/><Relationship Id="rId13" Type="http://schemas.openxmlformats.org/officeDocument/2006/relationships/chart" Target="charts/chart7.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Hoja_de_c_lculo_de_Microsoft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Hoja_de_c_lculo_de_Microsoft_Excel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Hoja_de_c_lculo_de_Microsoft_Excel7.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21604938271605"/>
          <c:y val="0.0903496503496503"/>
          <c:w val="0.966049382716049"/>
          <c:h val="0.686690160233467"/>
        </c:manualLayout>
      </c:layout>
      <c:barChart>
        <c:barDir val="col"/>
        <c:grouping val="clustered"/>
        <c:varyColors val="0"/>
        <c:ser>
          <c:idx val="0"/>
          <c:order val="0"/>
          <c:tx>
            <c:strRef>
              <c:f>Hoja1!$B$1</c:f>
              <c:strCache>
                <c:ptCount val="1"/>
                <c:pt idx="0">
                  <c:v>2016</c:v>
                </c:pt>
              </c:strCache>
            </c:strRef>
          </c:tx>
          <c:spPr>
            <a:solidFill>
              <a:schemeClr val="accent5">
                <a:lumMod val="75000"/>
              </a:schemeClr>
            </a:solidFill>
          </c:spPr>
          <c:invertIfNegative val="0"/>
          <c:dLbls>
            <c:spPr>
              <a:noFill/>
              <a:ln>
                <a:noFill/>
              </a:ln>
              <a:effectLst/>
            </c:spPr>
            <c:txPr>
              <a:bodyPr rot="-5400000" vert="horz"/>
              <a:lstStyle/>
              <a:p>
                <a:pPr algn="ctr">
                  <a:defRPr>
                    <a:solidFill>
                      <a:schemeClr val="bg1"/>
                    </a:solidFill>
                  </a:defRPr>
                </a:pPr>
                <a:endParaRPr lang="es-ES_tradnl"/>
              </a:p>
            </c:txPr>
            <c:dLblPos val="inBase"/>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Hoja1!$A$2:$A$7</c:f>
              <c:strCache>
                <c:ptCount val="6"/>
                <c:pt idx="0">
                  <c:v>Preescolar </c:v>
                </c:pt>
                <c:pt idx="1">
                  <c:v>Primaria </c:v>
                </c:pt>
                <c:pt idx="2">
                  <c:v>Secundaria </c:v>
                </c:pt>
                <c:pt idx="3">
                  <c:v>Media </c:v>
                </c:pt>
                <c:pt idx="4">
                  <c:v>Básica (0-9)</c:v>
                </c:pt>
                <c:pt idx="5">
                  <c:v>Bruta Total</c:v>
                </c:pt>
              </c:strCache>
            </c:strRef>
          </c:cat>
          <c:val>
            <c:numRef>
              <c:f>Hoja1!$B$2:$B$7</c:f>
              <c:numCache>
                <c:formatCode>0.0%</c:formatCode>
                <c:ptCount val="6"/>
                <c:pt idx="0">
                  <c:v>0.932374251811404</c:v>
                </c:pt>
                <c:pt idx="1">
                  <c:v>1.04245591116917</c:v>
                </c:pt>
                <c:pt idx="2">
                  <c:v>1.074300807188171</c:v>
                </c:pt>
                <c:pt idx="3">
                  <c:v>0.777977462599573</c:v>
                </c:pt>
                <c:pt idx="4">
                  <c:v>1.044897299699069</c:v>
                </c:pt>
                <c:pt idx="5">
                  <c:v>0.99895497182604</c:v>
                </c:pt>
              </c:numCache>
            </c:numRef>
          </c:val>
          <c:extLst xmlns:c16r2="http://schemas.microsoft.com/office/drawing/2015/06/chart">
            <c:ext xmlns:c16="http://schemas.microsoft.com/office/drawing/2014/chart" uri="{C3380CC4-5D6E-409C-BE32-E72D297353CC}">
              <c16:uniqueId val="{00000000-74F3-449D-8830-2BEDACED29AA}"/>
            </c:ext>
          </c:extLst>
        </c:ser>
        <c:dLbls>
          <c:showLegendKey val="0"/>
          <c:showVal val="1"/>
          <c:showCatName val="0"/>
          <c:showSerName val="0"/>
          <c:showPercent val="0"/>
          <c:showBubbleSize val="0"/>
        </c:dLbls>
        <c:gapWidth val="150"/>
        <c:axId val="1284962624"/>
        <c:axId val="1274509664"/>
      </c:barChart>
      <c:catAx>
        <c:axId val="1284962624"/>
        <c:scaling>
          <c:orientation val="minMax"/>
        </c:scaling>
        <c:delete val="0"/>
        <c:axPos val="b"/>
        <c:numFmt formatCode="General" sourceLinked="0"/>
        <c:majorTickMark val="out"/>
        <c:minorTickMark val="none"/>
        <c:tickLblPos val="nextTo"/>
        <c:crossAx val="1274509664"/>
        <c:crosses val="autoZero"/>
        <c:auto val="1"/>
        <c:lblAlgn val="ctr"/>
        <c:lblOffset val="100"/>
        <c:noMultiLvlLbl val="0"/>
      </c:catAx>
      <c:valAx>
        <c:axId val="1274509664"/>
        <c:scaling>
          <c:orientation val="minMax"/>
        </c:scaling>
        <c:delete val="1"/>
        <c:axPos val="l"/>
        <c:numFmt formatCode="0.0%" sourceLinked="1"/>
        <c:majorTickMark val="out"/>
        <c:minorTickMark val="none"/>
        <c:tickLblPos val="nextTo"/>
        <c:crossAx val="1284962624"/>
        <c:crosses val="autoZero"/>
        <c:crossBetween val="between"/>
      </c:valAx>
    </c:plotArea>
    <c:plotVisOnly val="1"/>
    <c:dispBlanksAs val="gap"/>
    <c:showDLblsOverMax val="0"/>
  </c:chart>
  <c:spPr>
    <a:ln>
      <a:noFill/>
    </a:ln>
  </c:spPr>
  <c:txPr>
    <a:bodyPr/>
    <a:lstStyle/>
    <a:p>
      <a:pPr>
        <a:defRPr sz="800">
          <a:solidFill>
            <a:schemeClr val="tx1"/>
          </a:solidFill>
        </a:defRPr>
      </a:pPr>
      <a:endParaRPr lang="es-ES_tradnl"/>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0466152161443396"/>
          <c:y val="0.0470958933163658"/>
          <c:w val="0.854683131568906"/>
          <c:h val="0.701173033582816"/>
        </c:manualLayout>
      </c:layout>
      <c:lineChart>
        <c:grouping val="standard"/>
        <c:varyColors val="0"/>
        <c:ser>
          <c:idx val="0"/>
          <c:order val="0"/>
          <c:tx>
            <c:strRef>
              <c:f>Hoja1!$B$1</c:f>
              <c:strCache>
                <c:ptCount val="1"/>
                <c:pt idx="0">
                  <c:v>Matemáticas</c:v>
                </c:pt>
              </c:strCache>
            </c:strRef>
          </c:tx>
          <c:spPr>
            <a:ln>
              <a:solidFill>
                <a:schemeClr val="accent5">
                  <a:lumMod val="75000"/>
                </a:schemeClr>
              </a:solidFill>
            </a:ln>
          </c:spPr>
          <c:marker>
            <c:spPr>
              <a:solidFill>
                <a:schemeClr val="accent5">
                  <a:lumMod val="75000"/>
                </a:schemeClr>
              </a:solidFill>
              <a:ln>
                <a:solidFill>
                  <a:schemeClr val="accent5">
                    <a:lumMod val="75000"/>
                  </a:schemeClr>
                </a:solidFill>
              </a:ln>
            </c:spPr>
          </c:marker>
          <c:dLbls>
            <c:spPr>
              <a:noFill/>
              <a:ln>
                <a:noFill/>
              </a:ln>
              <a:effectLst/>
            </c:spPr>
            <c:dLblPos val="b"/>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Hoja1!$A$2:$A$7</c:f>
              <c:numCache>
                <c:formatCode>General</c:formatCode>
                <c:ptCount val="6"/>
                <c:pt idx="0">
                  <c:v>2012.0</c:v>
                </c:pt>
                <c:pt idx="1">
                  <c:v>2013.0</c:v>
                </c:pt>
                <c:pt idx="2">
                  <c:v>2014.0</c:v>
                </c:pt>
                <c:pt idx="3">
                  <c:v>2015.0</c:v>
                </c:pt>
                <c:pt idx="4">
                  <c:v>2016.0</c:v>
                </c:pt>
                <c:pt idx="5">
                  <c:v>2017.0</c:v>
                </c:pt>
              </c:numCache>
            </c:numRef>
          </c:cat>
          <c:val>
            <c:numRef>
              <c:f>Hoja1!$B$2:$B$7</c:f>
              <c:numCache>
                <c:formatCode>0%</c:formatCode>
                <c:ptCount val="6"/>
                <c:pt idx="0">
                  <c:v>0.16</c:v>
                </c:pt>
                <c:pt idx="1">
                  <c:v>0.15</c:v>
                </c:pt>
                <c:pt idx="2">
                  <c:v>0.15</c:v>
                </c:pt>
                <c:pt idx="3">
                  <c:v>0.19</c:v>
                </c:pt>
                <c:pt idx="4">
                  <c:v>0.21</c:v>
                </c:pt>
                <c:pt idx="5">
                  <c:v>0.13</c:v>
                </c:pt>
              </c:numCache>
            </c:numRef>
          </c:val>
          <c:smooth val="0"/>
          <c:extLst xmlns:c16r2="http://schemas.microsoft.com/office/drawing/2015/06/chart">
            <c:ext xmlns:c16="http://schemas.microsoft.com/office/drawing/2014/chart" uri="{C3380CC4-5D6E-409C-BE32-E72D297353CC}">
              <c16:uniqueId val="{00000000-0328-4363-9665-34AFB078EBAF}"/>
            </c:ext>
          </c:extLst>
        </c:ser>
        <c:ser>
          <c:idx val="1"/>
          <c:order val="1"/>
          <c:tx>
            <c:strRef>
              <c:f>Hoja1!$C$1</c:f>
              <c:strCache>
                <c:ptCount val="1"/>
                <c:pt idx="0">
                  <c:v>Lenguaje</c:v>
                </c:pt>
              </c:strCache>
            </c:strRef>
          </c:tx>
          <c:spPr>
            <a:ln>
              <a:solidFill>
                <a:srgbClr val="FF0000"/>
              </a:solidFill>
            </a:ln>
          </c:spPr>
          <c:marker>
            <c:spPr>
              <a:solidFill>
                <a:srgbClr val="FF0000"/>
              </a:solidFill>
              <a:ln>
                <a:solidFill>
                  <a:srgbClr val="FF0000"/>
                </a:solidFill>
              </a:ln>
            </c:spPr>
          </c:marker>
          <c:dLbls>
            <c:spPr>
              <a:noFill/>
              <a:ln>
                <a:noFill/>
              </a:ln>
              <a:effectLst/>
            </c:sp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Hoja1!$A$2:$A$7</c:f>
              <c:numCache>
                <c:formatCode>General</c:formatCode>
                <c:ptCount val="6"/>
                <c:pt idx="0">
                  <c:v>2012.0</c:v>
                </c:pt>
                <c:pt idx="1">
                  <c:v>2013.0</c:v>
                </c:pt>
                <c:pt idx="2">
                  <c:v>2014.0</c:v>
                </c:pt>
                <c:pt idx="3">
                  <c:v>2015.0</c:v>
                </c:pt>
                <c:pt idx="4">
                  <c:v>2016.0</c:v>
                </c:pt>
                <c:pt idx="5">
                  <c:v>2017.0</c:v>
                </c:pt>
              </c:numCache>
            </c:numRef>
          </c:cat>
          <c:val>
            <c:numRef>
              <c:f>Hoja1!$C$2:$C$7</c:f>
              <c:numCache>
                <c:formatCode>0%</c:formatCode>
                <c:ptCount val="6"/>
                <c:pt idx="0">
                  <c:v>0.38</c:v>
                </c:pt>
                <c:pt idx="1">
                  <c:v>0.32</c:v>
                </c:pt>
                <c:pt idx="2">
                  <c:v>0.32</c:v>
                </c:pt>
                <c:pt idx="3">
                  <c:v>0.34</c:v>
                </c:pt>
                <c:pt idx="4">
                  <c:v>0.37</c:v>
                </c:pt>
                <c:pt idx="5">
                  <c:v>0.34</c:v>
                </c:pt>
              </c:numCache>
            </c:numRef>
          </c:val>
          <c:smooth val="0"/>
          <c:extLst xmlns:c16r2="http://schemas.microsoft.com/office/drawing/2015/06/chart">
            <c:ext xmlns:c16="http://schemas.microsoft.com/office/drawing/2014/chart" uri="{C3380CC4-5D6E-409C-BE32-E72D297353CC}">
              <c16:uniqueId val="{00000001-0328-4363-9665-34AFB078EBAF}"/>
            </c:ext>
          </c:extLst>
        </c:ser>
        <c:dLbls>
          <c:showLegendKey val="0"/>
          <c:showVal val="1"/>
          <c:showCatName val="0"/>
          <c:showSerName val="0"/>
          <c:showPercent val="0"/>
          <c:showBubbleSize val="0"/>
        </c:dLbls>
        <c:marker val="1"/>
        <c:smooth val="0"/>
        <c:axId val="1214600800"/>
        <c:axId val="1214963616"/>
      </c:lineChart>
      <c:catAx>
        <c:axId val="1214600800"/>
        <c:scaling>
          <c:orientation val="minMax"/>
        </c:scaling>
        <c:delete val="0"/>
        <c:axPos val="b"/>
        <c:numFmt formatCode="General" sourceLinked="1"/>
        <c:majorTickMark val="out"/>
        <c:minorTickMark val="none"/>
        <c:tickLblPos val="nextTo"/>
        <c:crossAx val="1214963616"/>
        <c:crosses val="autoZero"/>
        <c:auto val="1"/>
        <c:lblAlgn val="ctr"/>
        <c:lblOffset val="100"/>
        <c:noMultiLvlLbl val="0"/>
      </c:catAx>
      <c:valAx>
        <c:axId val="1214963616"/>
        <c:scaling>
          <c:orientation val="minMax"/>
        </c:scaling>
        <c:delete val="1"/>
        <c:axPos val="l"/>
        <c:numFmt formatCode="0%" sourceLinked="1"/>
        <c:majorTickMark val="out"/>
        <c:minorTickMark val="none"/>
        <c:tickLblPos val="nextTo"/>
        <c:crossAx val="1214600800"/>
        <c:crosses val="autoZero"/>
        <c:crossBetween val="between"/>
        <c:majorUnit val="0.1"/>
      </c:valAx>
    </c:plotArea>
    <c:legend>
      <c:legendPos val="b"/>
      <c:overlay val="0"/>
    </c:legend>
    <c:plotVisOnly val="1"/>
    <c:dispBlanksAs val="gap"/>
    <c:showDLblsOverMax val="0"/>
  </c:chart>
  <c:spPr>
    <a:ln>
      <a:noFill/>
    </a:ln>
  </c:spPr>
  <c:txPr>
    <a:bodyPr/>
    <a:lstStyle/>
    <a:p>
      <a:pPr>
        <a:defRPr sz="800">
          <a:solidFill>
            <a:schemeClr val="tx1"/>
          </a:solidFill>
        </a:defRPr>
      </a:pPr>
      <a:endParaRPr lang="es-ES_tradnl"/>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0263973210245271"/>
          <c:y val="0.0470958933163658"/>
          <c:w val="0.926636256674812"/>
          <c:h val="0.701173033582816"/>
        </c:manualLayout>
      </c:layout>
      <c:lineChart>
        <c:grouping val="standard"/>
        <c:varyColors val="0"/>
        <c:ser>
          <c:idx val="0"/>
          <c:order val="0"/>
          <c:tx>
            <c:strRef>
              <c:f>Hoja1!$B$1</c:f>
              <c:strCache>
                <c:ptCount val="1"/>
                <c:pt idx="0">
                  <c:v>Matemáticas</c:v>
                </c:pt>
              </c:strCache>
            </c:strRef>
          </c:tx>
          <c:spPr>
            <a:ln>
              <a:solidFill>
                <a:schemeClr val="accent5">
                  <a:lumMod val="75000"/>
                </a:schemeClr>
              </a:solidFill>
            </a:ln>
          </c:spPr>
          <c:marker>
            <c:spPr>
              <a:solidFill>
                <a:schemeClr val="accent5">
                  <a:lumMod val="75000"/>
                </a:schemeClr>
              </a:solidFill>
              <a:ln>
                <a:solidFill>
                  <a:schemeClr val="accent5">
                    <a:lumMod val="75000"/>
                  </a:schemeClr>
                </a:solidFill>
              </a:ln>
            </c:spPr>
          </c:marker>
          <c:dLbls>
            <c:spPr>
              <a:noFill/>
              <a:ln>
                <a:noFill/>
              </a:ln>
              <a:effectLst/>
            </c:spPr>
            <c:dLblPos val="b"/>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Hoja1!$A$2:$A$7</c:f>
              <c:numCache>
                <c:formatCode>General</c:formatCode>
                <c:ptCount val="6"/>
                <c:pt idx="0">
                  <c:v>2012.0</c:v>
                </c:pt>
                <c:pt idx="1">
                  <c:v>2013.0</c:v>
                </c:pt>
                <c:pt idx="2">
                  <c:v>2014.0</c:v>
                </c:pt>
                <c:pt idx="3">
                  <c:v>2015.0</c:v>
                </c:pt>
                <c:pt idx="4">
                  <c:v>2016.0</c:v>
                </c:pt>
                <c:pt idx="5">
                  <c:v>2017.0</c:v>
                </c:pt>
              </c:numCache>
            </c:numRef>
          </c:cat>
          <c:val>
            <c:numRef>
              <c:f>Hoja1!$B$2:$B$7</c:f>
              <c:numCache>
                <c:formatCode>0%</c:formatCode>
                <c:ptCount val="6"/>
                <c:pt idx="0">
                  <c:v>0.23</c:v>
                </c:pt>
                <c:pt idx="1">
                  <c:v>0.25</c:v>
                </c:pt>
                <c:pt idx="2">
                  <c:v>0.23</c:v>
                </c:pt>
                <c:pt idx="3">
                  <c:v>0.3</c:v>
                </c:pt>
                <c:pt idx="4">
                  <c:v>0.35</c:v>
                </c:pt>
                <c:pt idx="5">
                  <c:v>0.14</c:v>
                </c:pt>
              </c:numCache>
            </c:numRef>
          </c:val>
          <c:smooth val="0"/>
          <c:extLst xmlns:c16r2="http://schemas.microsoft.com/office/drawing/2015/06/chart">
            <c:ext xmlns:c16="http://schemas.microsoft.com/office/drawing/2014/chart" uri="{C3380CC4-5D6E-409C-BE32-E72D297353CC}">
              <c16:uniqueId val="{00000000-FFCE-4867-9848-8F5B74913AA6}"/>
            </c:ext>
          </c:extLst>
        </c:ser>
        <c:ser>
          <c:idx val="1"/>
          <c:order val="1"/>
          <c:tx>
            <c:strRef>
              <c:f>Hoja1!$C$1</c:f>
              <c:strCache>
                <c:ptCount val="1"/>
                <c:pt idx="0">
                  <c:v>Lenguaje</c:v>
                </c:pt>
              </c:strCache>
            </c:strRef>
          </c:tx>
          <c:spPr>
            <a:ln>
              <a:solidFill>
                <a:srgbClr val="FF0000"/>
              </a:solidFill>
            </a:ln>
          </c:spPr>
          <c:marker>
            <c:spPr>
              <a:solidFill>
                <a:srgbClr val="FF0000"/>
              </a:solidFill>
              <a:ln>
                <a:solidFill>
                  <a:srgbClr val="FF0000"/>
                </a:solidFill>
              </a:ln>
            </c:spPr>
          </c:marker>
          <c:dLbls>
            <c:spPr>
              <a:noFill/>
              <a:ln>
                <a:noFill/>
              </a:ln>
              <a:effectLst/>
            </c:sp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Hoja1!$A$2:$A$7</c:f>
              <c:numCache>
                <c:formatCode>General</c:formatCode>
                <c:ptCount val="6"/>
                <c:pt idx="0">
                  <c:v>2012.0</c:v>
                </c:pt>
                <c:pt idx="1">
                  <c:v>2013.0</c:v>
                </c:pt>
                <c:pt idx="2">
                  <c:v>2014.0</c:v>
                </c:pt>
                <c:pt idx="3">
                  <c:v>2015.0</c:v>
                </c:pt>
                <c:pt idx="4">
                  <c:v>2016.0</c:v>
                </c:pt>
                <c:pt idx="5">
                  <c:v>2017.0</c:v>
                </c:pt>
              </c:numCache>
            </c:numRef>
          </c:cat>
          <c:val>
            <c:numRef>
              <c:f>Hoja1!$C$2:$C$7</c:f>
              <c:numCache>
                <c:formatCode>0%</c:formatCode>
                <c:ptCount val="6"/>
                <c:pt idx="0">
                  <c:v>0.34</c:v>
                </c:pt>
                <c:pt idx="1">
                  <c:v>0.33</c:v>
                </c:pt>
                <c:pt idx="2">
                  <c:v>0.32</c:v>
                </c:pt>
                <c:pt idx="3">
                  <c:v>0.34</c:v>
                </c:pt>
                <c:pt idx="4">
                  <c:v>0.45</c:v>
                </c:pt>
                <c:pt idx="5">
                  <c:v>0.29</c:v>
                </c:pt>
              </c:numCache>
            </c:numRef>
          </c:val>
          <c:smooth val="0"/>
          <c:extLst xmlns:c16r2="http://schemas.microsoft.com/office/drawing/2015/06/chart">
            <c:ext xmlns:c16="http://schemas.microsoft.com/office/drawing/2014/chart" uri="{C3380CC4-5D6E-409C-BE32-E72D297353CC}">
              <c16:uniqueId val="{00000001-FFCE-4867-9848-8F5B74913AA6}"/>
            </c:ext>
          </c:extLst>
        </c:ser>
        <c:dLbls>
          <c:showLegendKey val="0"/>
          <c:showVal val="1"/>
          <c:showCatName val="0"/>
          <c:showSerName val="0"/>
          <c:showPercent val="0"/>
          <c:showBubbleSize val="0"/>
        </c:dLbls>
        <c:marker val="1"/>
        <c:smooth val="0"/>
        <c:axId val="1284379424"/>
        <c:axId val="1288144880"/>
      </c:lineChart>
      <c:catAx>
        <c:axId val="1284379424"/>
        <c:scaling>
          <c:orientation val="minMax"/>
        </c:scaling>
        <c:delete val="0"/>
        <c:axPos val="b"/>
        <c:numFmt formatCode="General" sourceLinked="1"/>
        <c:majorTickMark val="out"/>
        <c:minorTickMark val="none"/>
        <c:tickLblPos val="nextTo"/>
        <c:crossAx val="1288144880"/>
        <c:crosses val="autoZero"/>
        <c:auto val="1"/>
        <c:lblAlgn val="ctr"/>
        <c:lblOffset val="100"/>
        <c:noMultiLvlLbl val="0"/>
      </c:catAx>
      <c:valAx>
        <c:axId val="1288144880"/>
        <c:scaling>
          <c:orientation val="minMax"/>
        </c:scaling>
        <c:delete val="1"/>
        <c:axPos val="l"/>
        <c:numFmt formatCode="0%" sourceLinked="1"/>
        <c:majorTickMark val="out"/>
        <c:minorTickMark val="none"/>
        <c:tickLblPos val="nextTo"/>
        <c:crossAx val="1284379424"/>
        <c:crosses val="autoZero"/>
        <c:crossBetween val="between"/>
        <c:majorUnit val="0.1"/>
      </c:valAx>
    </c:plotArea>
    <c:legend>
      <c:legendPos val="b"/>
      <c:overlay val="0"/>
    </c:legend>
    <c:plotVisOnly val="1"/>
    <c:dispBlanksAs val="gap"/>
    <c:showDLblsOverMax val="0"/>
  </c:chart>
  <c:spPr>
    <a:ln>
      <a:noFill/>
    </a:ln>
  </c:spPr>
  <c:txPr>
    <a:bodyPr/>
    <a:lstStyle/>
    <a:p>
      <a:pPr>
        <a:defRPr sz="800">
          <a:solidFill>
            <a:schemeClr val="tx1"/>
          </a:solidFill>
        </a:defRPr>
      </a:pPr>
      <a:endParaRPr lang="es-ES_tradnl"/>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Hoja1!$B$1</c:f>
              <c:strCache>
                <c:ptCount val="1"/>
                <c:pt idx="0">
                  <c:v>Tasa de Homicidios por cada 100 mil habitantes</c:v>
                </c:pt>
              </c:strCache>
            </c:strRef>
          </c:tx>
          <c:spPr>
            <a:ln>
              <a:solidFill>
                <a:schemeClr val="accent5">
                  <a:lumMod val="75000"/>
                </a:schemeClr>
              </a:solidFill>
            </a:ln>
          </c:spPr>
          <c:marker>
            <c:spPr>
              <a:solidFill>
                <a:schemeClr val="accent5">
                  <a:lumMod val="75000"/>
                </a:schemeClr>
              </a:solidFill>
              <a:ln>
                <a:solidFill>
                  <a:schemeClr val="accent5">
                    <a:lumMod val="75000"/>
                  </a:schemeClr>
                </a:solidFill>
              </a:ln>
            </c:spPr>
          </c:marker>
          <c:dLbls>
            <c:spPr>
              <a:noFill/>
              <a:ln>
                <a:noFill/>
              </a:ln>
              <a:effectLst/>
            </c:sp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Hoja1!$A$2:$A$6</c:f>
              <c:numCache>
                <c:formatCode>General</c:formatCode>
                <c:ptCount val="5"/>
                <c:pt idx="0">
                  <c:v>2012.0</c:v>
                </c:pt>
                <c:pt idx="1">
                  <c:v>2013.0</c:v>
                </c:pt>
                <c:pt idx="2">
                  <c:v>2014.0</c:v>
                </c:pt>
                <c:pt idx="3">
                  <c:v>2015.0</c:v>
                </c:pt>
                <c:pt idx="4">
                  <c:v>2016.0</c:v>
                </c:pt>
              </c:numCache>
            </c:numRef>
          </c:cat>
          <c:val>
            <c:numRef>
              <c:f>Hoja1!$B$2:$B$6</c:f>
              <c:numCache>
                <c:formatCode>General</c:formatCode>
                <c:ptCount val="5"/>
                <c:pt idx="0">
                  <c:v>49.14</c:v>
                </c:pt>
                <c:pt idx="1">
                  <c:v>41.15</c:v>
                </c:pt>
                <c:pt idx="2">
                  <c:v>20.36</c:v>
                </c:pt>
                <c:pt idx="3">
                  <c:v>16.53</c:v>
                </c:pt>
                <c:pt idx="4">
                  <c:v>17.9</c:v>
                </c:pt>
              </c:numCache>
            </c:numRef>
          </c:val>
          <c:smooth val="0"/>
          <c:extLst xmlns:c16r2="http://schemas.microsoft.com/office/drawing/2015/06/chart">
            <c:ext xmlns:c16="http://schemas.microsoft.com/office/drawing/2014/chart" uri="{C3380CC4-5D6E-409C-BE32-E72D297353CC}">
              <c16:uniqueId val="{00000000-FD4F-A941-A386-0176E0A97C75}"/>
            </c:ext>
          </c:extLst>
        </c:ser>
        <c:dLbls>
          <c:showLegendKey val="0"/>
          <c:showVal val="0"/>
          <c:showCatName val="0"/>
          <c:showSerName val="0"/>
          <c:showPercent val="0"/>
          <c:showBubbleSize val="0"/>
        </c:dLbls>
        <c:marker val="1"/>
        <c:smooth val="0"/>
        <c:axId val="1283884672"/>
        <c:axId val="1284259504"/>
      </c:lineChart>
      <c:catAx>
        <c:axId val="1283884672"/>
        <c:scaling>
          <c:orientation val="minMax"/>
        </c:scaling>
        <c:delete val="0"/>
        <c:axPos val="b"/>
        <c:numFmt formatCode="General" sourceLinked="1"/>
        <c:majorTickMark val="out"/>
        <c:minorTickMark val="none"/>
        <c:tickLblPos val="nextTo"/>
        <c:crossAx val="1284259504"/>
        <c:crosses val="autoZero"/>
        <c:auto val="1"/>
        <c:lblAlgn val="ctr"/>
        <c:lblOffset val="100"/>
        <c:noMultiLvlLbl val="0"/>
      </c:catAx>
      <c:valAx>
        <c:axId val="1284259504"/>
        <c:scaling>
          <c:orientation val="minMax"/>
        </c:scaling>
        <c:delete val="1"/>
        <c:axPos val="l"/>
        <c:numFmt formatCode="General" sourceLinked="1"/>
        <c:majorTickMark val="out"/>
        <c:minorTickMark val="none"/>
        <c:tickLblPos val="nextTo"/>
        <c:crossAx val="1283884672"/>
        <c:crosses val="autoZero"/>
        <c:crossBetween val="between"/>
      </c:valAx>
    </c:plotArea>
    <c:plotVisOnly val="1"/>
    <c:dispBlanksAs val="zero"/>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05077452853147"/>
          <c:y val="0.242867125984252"/>
          <c:w val="0.858389068711306"/>
          <c:h val="0.377195866141732"/>
        </c:manualLayout>
      </c:layout>
      <c:barChart>
        <c:barDir val="col"/>
        <c:grouping val="clustered"/>
        <c:varyColors val="0"/>
        <c:ser>
          <c:idx val="0"/>
          <c:order val="0"/>
          <c:tx>
            <c:strRef>
              <c:f>Hoja1!$B$1</c:f>
              <c:strCache>
                <c:ptCount val="1"/>
                <c:pt idx="0">
                  <c:v>Tasa Desempleo</c:v>
                </c:pt>
              </c:strCache>
            </c:strRef>
          </c:tx>
          <c:spPr>
            <a:solidFill>
              <a:srgbClr val="4798B2"/>
            </a:solidFill>
          </c:spPr>
          <c:invertIfNegative val="0"/>
          <c:dLbls>
            <c:spPr>
              <a:noFill/>
              <a:ln>
                <a:noFill/>
              </a:ln>
              <a:effectLst/>
            </c:sp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Hoja1!$A$2:$A$6</c:f>
              <c:numCache>
                <c:formatCode>General</c:formatCode>
                <c:ptCount val="5"/>
                <c:pt idx="0">
                  <c:v>2012.0</c:v>
                </c:pt>
                <c:pt idx="1">
                  <c:v>2013.0</c:v>
                </c:pt>
                <c:pt idx="2">
                  <c:v>2014.0</c:v>
                </c:pt>
                <c:pt idx="3">
                  <c:v>2015.0</c:v>
                </c:pt>
                <c:pt idx="4">
                  <c:v>2016.0</c:v>
                </c:pt>
              </c:numCache>
            </c:numRef>
          </c:cat>
          <c:val>
            <c:numRef>
              <c:f>Hoja1!$B$2:$B$6</c:f>
              <c:numCache>
                <c:formatCode>0.0%</c:formatCode>
                <c:ptCount val="5"/>
                <c:pt idx="0">
                  <c:v>0.1</c:v>
                </c:pt>
                <c:pt idx="1">
                  <c:v>0.099</c:v>
                </c:pt>
                <c:pt idx="2">
                  <c:v>0.103</c:v>
                </c:pt>
                <c:pt idx="3">
                  <c:v>0.091</c:v>
                </c:pt>
                <c:pt idx="4">
                  <c:v>0.095</c:v>
                </c:pt>
              </c:numCache>
            </c:numRef>
          </c:val>
          <c:extLst xmlns:c16r2="http://schemas.microsoft.com/office/drawing/2015/06/chart">
            <c:ext xmlns:c16="http://schemas.microsoft.com/office/drawing/2014/chart" uri="{C3380CC4-5D6E-409C-BE32-E72D297353CC}">
              <c16:uniqueId val="{00000000-7F3B-8048-B106-240682969668}"/>
            </c:ext>
          </c:extLst>
        </c:ser>
        <c:dLbls>
          <c:showLegendKey val="0"/>
          <c:showVal val="1"/>
          <c:showCatName val="0"/>
          <c:showSerName val="0"/>
          <c:showPercent val="0"/>
          <c:showBubbleSize val="0"/>
        </c:dLbls>
        <c:gapWidth val="150"/>
        <c:axId val="1214829344"/>
        <c:axId val="1215239104"/>
      </c:barChart>
      <c:catAx>
        <c:axId val="1214829344"/>
        <c:scaling>
          <c:orientation val="minMax"/>
        </c:scaling>
        <c:delete val="0"/>
        <c:axPos val="b"/>
        <c:numFmt formatCode="General" sourceLinked="0"/>
        <c:majorTickMark val="out"/>
        <c:minorTickMark val="none"/>
        <c:tickLblPos val="nextTo"/>
        <c:crossAx val="1215239104"/>
        <c:crosses val="autoZero"/>
        <c:auto val="1"/>
        <c:lblAlgn val="ctr"/>
        <c:lblOffset val="100"/>
        <c:noMultiLvlLbl val="0"/>
      </c:catAx>
      <c:valAx>
        <c:axId val="1215239104"/>
        <c:scaling>
          <c:orientation val="minMax"/>
          <c:min val="0.0"/>
        </c:scaling>
        <c:delete val="0"/>
        <c:axPos val="l"/>
        <c:numFmt formatCode="0%" sourceLinked="0"/>
        <c:majorTickMark val="out"/>
        <c:minorTickMark val="none"/>
        <c:tickLblPos val="nextTo"/>
        <c:crossAx val="1214829344"/>
        <c:crosses val="autoZero"/>
        <c:crossBetween val="between"/>
        <c:majorUnit val="0.1"/>
      </c:valAx>
    </c:plotArea>
    <c:plotVisOnly val="1"/>
    <c:dispBlanksAs val="gap"/>
    <c:showDLblsOverMax val="0"/>
  </c:chart>
  <c:spPr>
    <a:ln>
      <a:noFill/>
    </a:ln>
  </c:spPr>
  <c:txPr>
    <a:bodyPr/>
    <a:lstStyle/>
    <a:p>
      <a:pPr>
        <a:defRPr sz="1000">
          <a:solidFill>
            <a:schemeClr val="tx1">
              <a:lumMod val="95000"/>
              <a:lumOff val="5000"/>
            </a:schemeClr>
          </a:solidFill>
        </a:defRPr>
      </a:pPr>
      <a:endParaRPr lang="es-ES_tradnl"/>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05077452853146"/>
          <c:y val="0.283501777765335"/>
          <c:w val="0.858389068711306"/>
          <c:h val="0.458465082609096"/>
        </c:manualLayout>
      </c:layout>
      <c:barChart>
        <c:barDir val="col"/>
        <c:grouping val="clustered"/>
        <c:varyColors val="0"/>
        <c:ser>
          <c:idx val="0"/>
          <c:order val="0"/>
          <c:tx>
            <c:strRef>
              <c:f>Hoja1!$B$1</c:f>
              <c:strCache>
                <c:ptCount val="1"/>
                <c:pt idx="0">
                  <c:v>Tasa de informalidad</c:v>
                </c:pt>
              </c:strCache>
            </c:strRef>
          </c:tx>
          <c:spPr>
            <a:solidFill>
              <a:srgbClr val="FF0000"/>
            </a:solidFill>
          </c:spPr>
          <c:invertIfNegative val="0"/>
          <c:dPt>
            <c:idx val="2"/>
            <c:invertIfNegative val="0"/>
            <c:bubble3D val="0"/>
            <c:spPr>
              <a:solidFill>
                <a:srgbClr val="FF0000"/>
              </a:solidFill>
            </c:spPr>
          </c:dPt>
          <c:dLbls>
            <c:spPr>
              <a:noFill/>
              <a:ln>
                <a:noFill/>
              </a:ln>
              <a:effectLst/>
            </c:sp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Hoja1!$A$2:$A$6</c:f>
              <c:numCache>
                <c:formatCode>General</c:formatCode>
                <c:ptCount val="5"/>
                <c:pt idx="0">
                  <c:v>2012.0</c:v>
                </c:pt>
                <c:pt idx="1">
                  <c:v>2013.0</c:v>
                </c:pt>
                <c:pt idx="2">
                  <c:v>2014.0</c:v>
                </c:pt>
                <c:pt idx="3">
                  <c:v>2015.0</c:v>
                </c:pt>
                <c:pt idx="4">
                  <c:v>2016.0</c:v>
                </c:pt>
              </c:numCache>
            </c:numRef>
          </c:cat>
          <c:val>
            <c:numRef>
              <c:f>Hoja1!$B$2:$B$6</c:f>
              <c:numCache>
                <c:formatCode>0.0%</c:formatCode>
                <c:ptCount val="5"/>
                <c:pt idx="0">
                  <c:v>0.638</c:v>
                </c:pt>
                <c:pt idx="1">
                  <c:v>0.644</c:v>
                </c:pt>
                <c:pt idx="2">
                  <c:v>0.679</c:v>
                </c:pt>
                <c:pt idx="3">
                  <c:v>0.623</c:v>
                </c:pt>
                <c:pt idx="4">
                  <c:v>0.611</c:v>
                </c:pt>
              </c:numCache>
            </c:numRef>
          </c:val>
          <c:extLst xmlns:c16r2="http://schemas.microsoft.com/office/drawing/2015/06/chart">
            <c:ext xmlns:c16="http://schemas.microsoft.com/office/drawing/2014/chart" uri="{C3380CC4-5D6E-409C-BE32-E72D297353CC}">
              <c16:uniqueId val="{00000000-29FD-1247-A2CD-C55BDA1577EC}"/>
            </c:ext>
          </c:extLst>
        </c:ser>
        <c:dLbls>
          <c:showLegendKey val="0"/>
          <c:showVal val="1"/>
          <c:showCatName val="0"/>
          <c:showSerName val="0"/>
          <c:showPercent val="0"/>
          <c:showBubbleSize val="0"/>
        </c:dLbls>
        <c:gapWidth val="150"/>
        <c:axId val="1268965584"/>
        <c:axId val="1268967632"/>
      </c:barChart>
      <c:catAx>
        <c:axId val="1268965584"/>
        <c:scaling>
          <c:orientation val="minMax"/>
        </c:scaling>
        <c:delete val="0"/>
        <c:axPos val="b"/>
        <c:numFmt formatCode="General" sourceLinked="0"/>
        <c:majorTickMark val="out"/>
        <c:minorTickMark val="none"/>
        <c:tickLblPos val="nextTo"/>
        <c:crossAx val="1268967632"/>
        <c:crossesAt val="0.0"/>
        <c:auto val="1"/>
        <c:lblAlgn val="ctr"/>
        <c:lblOffset val="100"/>
        <c:noMultiLvlLbl val="0"/>
      </c:catAx>
      <c:valAx>
        <c:axId val="1268967632"/>
        <c:scaling>
          <c:orientation val="minMax"/>
        </c:scaling>
        <c:delete val="0"/>
        <c:axPos val="l"/>
        <c:numFmt formatCode="0%" sourceLinked="0"/>
        <c:majorTickMark val="out"/>
        <c:minorTickMark val="none"/>
        <c:tickLblPos val="nextTo"/>
        <c:crossAx val="1268965584"/>
        <c:crosses val="autoZero"/>
        <c:crossBetween val="between"/>
        <c:majorUnit val="0.05"/>
      </c:valAx>
    </c:plotArea>
    <c:plotVisOnly val="1"/>
    <c:dispBlanksAs val="gap"/>
    <c:showDLblsOverMax val="0"/>
  </c:chart>
  <c:spPr>
    <a:ln>
      <a:noFill/>
    </a:ln>
  </c:spPr>
  <c:txPr>
    <a:bodyPr/>
    <a:lstStyle/>
    <a:p>
      <a:pPr>
        <a:defRPr sz="1000">
          <a:solidFill>
            <a:schemeClr val="tx1"/>
          </a:solidFill>
        </a:defRPr>
      </a:pPr>
      <a:endParaRPr lang="es-ES_tradnl"/>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Serie 1</c:v>
                </c:pt>
              </c:strCache>
            </c:strRef>
          </c:tx>
          <c:spPr>
            <a:solidFill>
              <a:schemeClr val="accent5">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Hoja1!$A$2:$A$4</c:f>
              <c:numCache>
                <c:formatCode>General</c:formatCode>
                <c:ptCount val="3"/>
                <c:pt idx="0">
                  <c:v>2014.0</c:v>
                </c:pt>
                <c:pt idx="1">
                  <c:v>2015.0</c:v>
                </c:pt>
                <c:pt idx="2">
                  <c:v>2016.0</c:v>
                </c:pt>
              </c:numCache>
            </c:numRef>
          </c:cat>
          <c:val>
            <c:numRef>
              <c:f>Hoja1!$B$2:$B$4</c:f>
              <c:numCache>
                <c:formatCode>0.0%</c:formatCode>
                <c:ptCount val="3"/>
                <c:pt idx="0">
                  <c:v>0.341</c:v>
                </c:pt>
                <c:pt idx="1">
                  <c:v>0.307</c:v>
                </c:pt>
                <c:pt idx="2">
                  <c:v>0.351</c:v>
                </c:pt>
              </c:numCache>
            </c:numRef>
          </c:val>
          <c:extLst xmlns:c16r2="http://schemas.microsoft.com/office/drawing/2015/06/chart">
            <c:ext xmlns:c16="http://schemas.microsoft.com/office/drawing/2014/chart" uri="{C3380CC4-5D6E-409C-BE32-E72D297353CC}">
              <c16:uniqueId val="{00000000-6505-AD4D-BA82-CEB8E66862D6}"/>
            </c:ext>
          </c:extLst>
        </c:ser>
        <c:dLbls>
          <c:dLblPos val="inBase"/>
          <c:showLegendKey val="0"/>
          <c:showVal val="1"/>
          <c:showCatName val="0"/>
          <c:showSerName val="0"/>
          <c:showPercent val="0"/>
          <c:showBubbleSize val="0"/>
        </c:dLbls>
        <c:gapWidth val="150"/>
        <c:axId val="1289929840"/>
        <c:axId val="1289931472"/>
      </c:barChart>
      <c:catAx>
        <c:axId val="1289929840"/>
        <c:scaling>
          <c:orientation val="minMax"/>
        </c:scaling>
        <c:delete val="0"/>
        <c:axPos val="b"/>
        <c:numFmt formatCode="General" sourceLinked="1"/>
        <c:majorTickMark val="out"/>
        <c:minorTickMark val="none"/>
        <c:tickLblPos val="nextTo"/>
        <c:crossAx val="1289931472"/>
        <c:crosses val="autoZero"/>
        <c:auto val="1"/>
        <c:lblAlgn val="ctr"/>
        <c:lblOffset val="100"/>
        <c:noMultiLvlLbl val="0"/>
      </c:catAx>
      <c:valAx>
        <c:axId val="1289931472"/>
        <c:scaling>
          <c:orientation val="minMax"/>
        </c:scaling>
        <c:delete val="0"/>
        <c:axPos val="l"/>
        <c:numFmt formatCode="0.0%" sourceLinked="1"/>
        <c:majorTickMark val="out"/>
        <c:minorTickMark val="none"/>
        <c:tickLblPos val="nextTo"/>
        <c:crossAx val="1289929840"/>
        <c:crosses val="autoZero"/>
        <c:crossBetween val="between"/>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1282</Words>
  <Characters>7053</Characters>
  <Application>Microsoft Macintosh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Alcaldia de Cartagena</Company>
  <LinksUpToDate>false</LinksUpToDate>
  <CharactersWithSpaces>8319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 Trujillo</dc:creator>
  <cp:lastModifiedBy>Usuario de Microsoft Office</cp:lastModifiedBy>
  <cp:revision>4</cp:revision>
  <cp:lastPrinted>2016-01-25T17:46:00Z</cp:lastPrinted>
  <dcterms:created xsi:type="dcterms:W3CDTF">2018-04-27T22:45:00Z</dcterms:created>
  <dcterms:modified xsi:type="dcterms:W3CDTF">2018-04-27T23:37:00Z</dcterms:modified>
</cp:coreProperties>
</file>