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A4E5A" w14:textId="59C8DFBE" w:rsidR="00B55932" w:rsidRPr="008675CE" w:rsidRDefault="008675CE" w:rsidP="007C1E1D">
      <w:pPr>
        <w:jc w:val="both"/>
        <w:rPr>
          <w:rFonts w:asciiTheme="majorHAnsi" w:hAnsiTheme="majorHAnsi" w:cstheme="majorHAnsi"/>
          <w:b/>
          <w:bCs/>
        </w:rPr>
      </w:pPr>
      <w:bookmarkStart w:id="0" w:name="_GoBack"/>
      <w:bookmarkEnd w:id="0"/>
      <w:r w:rsidRPr="008675CE">
        <w:rPr>
          <w:rFonts w:asciiTheme="majorHAnsi" w:hAnsiTheme="majorHAnsi" w:cstheme="majorHAnsi"/>
          <w:b/>
          <w:bCs/>
        </w:rPr>
        <w:t>TÍTULO DE DASHBOARD: “LOS PRINCIPALES RETOS DE CALI”</w:t>
      </w:r>
    </w:p>
    <w:p w14:paraId="4E7B5154" w14:textId="455C2939" w:rsidR="004A2BBF" w:rsidRDefault="00134E7D" w:rsidP="00C36E9C">
      <w:pPr>
        <w:jc w:val="both"/>
        <w:rPr>
          <w:rFonts w:asciiTheme="majorHAnsi" w:hAnsiTheme="majorHAnsi" w:cstheme="majorHAnsi"/>
        </w:rPr>
      </w:pPr>
      <w:r w:rsidRPr="00134E7D">
        <w:rPr>
          <w:rFonts w:asciiTheme="majorHAnsi" w:hAnsiTheme="majorHAnsi" w:cstheme="majorHAnsi"/>
        </w:rPr>
        <w:t xml:space="preserve">Los </w:t>
      </w:r>
      <w:r w:rsidR="002754F6">
        <w:rPr>
          <w:rFonts w:asciiTheme="majorHAnsi" w:hAnsiTheme="majorHAnsi" w:cstheme="majorHAnsi"/>
        </w:rPr>
        <w:t>4</w:t>
      </w:r>
      <w:r w:rsidRPr="00134E7D">
        <w:rPr>
          <w:rFonts w:asciiTheme="majorHAnsi" w:hAnsiTheme="majorHAnsi" w:cstheme="majorHAnsi"/>
        </w:rPr>
        <w:t xml:space="preserve"> temas prioritarios en C</w:t>
      </w:r>
      <w:r w:rsidR="002754F6">
        <w:rPr>
          <w:rFonts w:asciiTheme="majorHAnsi" w:hAnsiTheme="majorHAnsi" w:cstheme="majorHAnsi"/>
        </w:rPr>
        <w:t>ali</w:t>
      </w:r>
      <w:r w:rsidRPr="00134E7D">
        <w:rPr>
          <w:rFonts w:asciiTheme="majorHAnsi" w:hAnsiTheme="majorHAnsi" w:cstheme="majorHAnsi"/>
        </w:rPr>
        <w:t xml:space="preserve"> </w:t>
      </w:r>
      <w:r w:rsidR="005E06B6">
        <w:rPr>
          <w:rFonts w:asciiTheme="majorHAnsi" w:hAnsiTheme="majorHAnsi" w:cstheme="majorHAnsi"/>
        </w:rPr>
        <w:t>durante los últimos 5 años</w:t>
      </w:r>
      <w:r w:rsidRPr="00134E7D">
        <w:rPr>
          <w:rFonts w:asciiTheme="majorHAnsi" w:hAnsiTheme="majorHAnsi" w:cstheme="majorHAnsi"/>
        </w:rPr>
        <w:t xml:space="preserve"> fueron la educación, la seguridad ciudadana, la pobreza y </w:t>
      </w:r>
      <w:r w:rsidR="002754F6">
        <w:rPr>
          <w:rFonts w:asciiTheme="majorHAnsi" w:hAnsiTheme="majorHAnsi" w:cstheme="majorHAnsi"/>
        </w:rPr>
        <w:t>el buen gob</w:t>
      </w:r>
      <w:r w:rsidR="00C3644F">
        <w:rPr>
          <w:rFonts w:asciiTheme="majorHAnsi" w:hAnsiTheme="majorHAnsi" w:cstheme="majorHAnsi"/>
        </w:rPr>
        <w:t>i</w:t>
      </w:r>
      <w:r w:rsidR="002754F6">
        <w:rPr>
          <w:rFonts w:asciiTheme="majorHAnsi" w:hAnsiTheme="majorHAnsi" w:cstheme="majorHAnsi"/>
        </w:rPr>
        <w:t>erno</w:t>
      </w:r>
      <w:r w:rsidRPr="00134E7D">
        <w:rPr>
          <w:rFonts w:asciiTheme="majorHAnsi" w:hAnsiTheme="majorHAnsi" w:cstheme="majorHAnsi"/>
        </w:rPr>
        <w:t xml:space="preserve">. </w:t>
      </w:r>
    </w:p>
    <w:p w14:paraId="0F5E9D61" w14:textId="4589750C" w:rsidR="00202E84" w:rsidRDefault="005E06B6" w:rsidP="00C36E9C">
      <w:pPr>
        <w:jc w:val="both"/>
        <w:rPr>
          <w:rFonts w:asciiTheme="majorHAnsi" w:hAnsiTheme="majorHAnsi" w:cstheme="majorHAnsi"/>
          <w:b/>
          <w:bCs/>
        </w:rPr>
      </w:pPr>
      <w:r>
        <w:rPr>
          <w:rFonts w:asciiTheme="majorHAnsi" w:hAnsiTheme="majorHAnsi" w:cstheme="majorHAnsi"/>
          <w:b/>
          <w:bCs/>
        </w:rPr>
        <w:t>LA EDUCACIÓN</w:t>
      </w:r>
      <w:r w:rsidR="00D34F88">
        <w:rPr>
          <w:rFonts w:asciiTheme="majorHAnsi" w:hAnsiTheme="majorHAnsi" w:cstheme="majorHAnsi"/>
          <w:b/>
          <w:bCs/>
        </w:rPr>
        <w:t xml:space="preserve"> </w:t>
      </w:r>
      <w:r w:rsidR="00233751">
        <w:rPr>
          <w:rFonts w:asciiTheme="majorHAnsi" w:hAnsiTheme="majorHAnsi" w:cstheme="majorHAnsi"/>
          <w:b/>
          <w:bCs/>
        </w:rPr>
        <w:t xml:space="preserve">MEDIA, </w:t>
      </w:r>
      <w:r w:rsidR="00C3644F">
        <w:rPr>
          <w:rFonts w:asciiTheme="majorHAnsi" w:hAnsiTheme="majorHAnsi" w:cstheme="majorHAnsi"/>
          <w:b/>
          <w:bCs/>
        </w:rPr>
        <w:t>UNA</w:t>
      </w:r>
      <w:r w:rsidR="00233751">
        <w:rPr>
          <w:rFonts w:asciiTheme="majorHAnsi" w:hAnsiTheme="majorHAnsi" w:cstheme="majorHAnsi"/>
          <w:b/>
          <w:bCs/>
        </w:rPr>
        <w:t xml:space="preserve"> TAREA PENDIENTE </w:t>
      </w:r>
      <w:r w:rsidR="00C3644F">
        <w:rPr>
          <w:rFonts w:asciiTheme="majorHAnsi" w:hAnsiTheme="majorHAnsi" w:cstheme="majorHAnsi"/>
          <w:b/>
          <w:bCs/>
        </w:rPr>
        <w:t>EN</w:t>
      </w:r>
      <w:r w:rsidR="00D34F88">
        <w:rPr>
          <w:rFonts w:asciiTheme="majorHAnsi" w:hAnsiTheme="majorHAnsi" w:cstheme="majorHAnsi"/>
          <w:b/>
          <w:bCs/>
        </w:rPr>
        <w:t xml:space="preserve"> </w:t>
      </w:r>
      <w:r w:rsidR="00233751">
        <w:rPr>
          <w:rFonts w:asciiTheme="majorHAnsi" w:hAnsiTheme="majorHAnsi" w:cstheme="majorHAnsi"/>
          <w:b/>
          <w:bCs/>
        </w:rPr>
        <w:t>CALI</w:t>
      </w:r>
    </w:p>
    <w:p w14:paraId="32622DBD" w14:textId="136C01FC" w:rsidR="00233751" w:rsidRDefault="005E06B6" w:rsidP="005E06B6">
      <w:pPr>
        <w:jc w:val="both"/>
        <w:rPr>
          <w:rFonts w:asciiTheme="majorHAnsi" w:hAnsiTheme="majorHAnsi" w:cstheme="majorHAnsi"/>
        </w:rPr>
      </w:pPr>
      <w:r w:rsidRPr="00134E7D">
        <w:rPr>
          <w:rFonts w:asciiTheme="majorHAnsi" w:hAnsiTheme="majorHAnsi" w:cstheme="majorHAnsi"/>
        </w:rPr>
        <w:t xml:space="preserve">Sobre el tema de la educación, </w:t>
      </w:r>
      <w:r w:rsidR="00233751">
        <w:rPr>
          <w:rFonts w:asciiTheme="majorHAnsi" w:hAnsiTheme="majorHAnsi" w:cstheme="majorHAnsi"/>
        </w:rPr>
        <w:t xml:space="preserve">si bien en los últimos 4 años (2013 – 2016) Cali registra un problema de cobertura educativa en todos los niveles, evidenciado en reducciones en las tasas de cobertura neta, el caso específico de la educación media </w:t>
      </w:r>
      <w:r w:rsidR="00233751" w:rsidRPr="00134E7D">
        <w:rPr>
          <w:rFonts w:asciiTheme="majorHAnsi" w:hAnsiTheme="majorHAnsi" w:cstheme="majorHAnsi"/>
        </w:rPr>
        <w:t xml:space="preserve">(10º y 11º) </w:t>
      </w:r>
      <w:r w:rsidR="00233751">
        <w:rPr>
          <w:rFonts w:asciiTheme="majorHAnsi" w:hAnsiTheme="majorHAnsi" w:cstheme="majorHAnsi"/>
        </w:rPr>
        <w:t xml:space="preserve">es la más crítica, toda vez que a 2016 la cobertura neta sólo alcanzó 58,6%, cifra inferior a la registrada en los otros niveles de educación básica de la ciudad (transición, primaria y secundaria) e inferior a la registrada por otras ciudades capitales de Colombia como </w:t>
      </w:r>
      <w:r w:rsidR="00233751" w:rsidRPr="00233751">
        <w:rPr>
          <w:rFonts w:asciiTheme="majorHAnsi" w:hAnsiTheme="majorHAnsi" w:cstheme="majorHAnsi"/>
        </w:rPr>
        <w:t>Bucaramanga, Cartagena, Pereira, Bogotá y Manizales</w:t>
      </w:r>
      <w:r w:rsidR="00233751">
        <w:rPr>
          <w:rFonts w:asciiTheme="majorHAnsi" w:hAnsiTheme="majorHAnsi" w:cstheme="majorHAnsi"/>
        </w:rPr>
        <w:t>.</w:t>
      </w:r>
    </w:p>
    <w:p w14:paraId="4931B7FB" w14:textId="5C843D22" w:rsidR="00233751" w:rsidRDefault="00233751" w:rsidP="005E06B6">
      <w:pPr>
        <w:jc w:val="both"/>
        <w:rPr>
          <w:rFonts w:asciiTheme="majorHAnsi" w:hAnsiTheme="majorHAnsi" w:cstheme="majorHAnsi"/>
        </w:rPr>
      </w:pPr>
      <w:r>
        <w:rPr>
          <w:rFonts w:asciiTheme="majorHAnsi" w:hAnsiTheme="majorHAnsi" w:cstheme="majorHAnsi"/>
        </w:rPr>
        <w:t>Esto resulta particularmente perjudicial para el desarrollo económico y social de la ciudad, toda vez que esta baja cobertura en educación media tiene sus efectos sobre la educación superior (menor número de matriculados) y por ende, en el capital humano con el que cuenta la ciudad.</w:t>
      </w:r>
    </w:p>
    <w:p w14:paraId="1D92C3AE" w14:textId="42A30EEC" w:rsidR="005E06B6" w:rsidRDefault="00703BD3" w:rsidP="00C36E9C">
      <w:pPr>
        <w:jc w:val="both"/>
        <w:rPr>
          <w:rFonts w:asciiTheme="majorHAnsi" w:hAnsiTheme="majorHAnsi" w:cstheme="majorHAnsi"/>
        </w:rPr>
      </w:pPr>
      <w:r>
        <w:rPr>
          <w:rFonts w:asciiTheme="majorHAnsi" w:hAnsiTheme="majorHAnsi" w:cstheme="majorHAnsi"/>
        </w:rPr>
        <w:t xml:space="preserve">En cuanto a la percepción de los caleños respecto de la satisfacción con la educación que reciben los niños y jóvenes de la ciudad, 72,0% manifestó sentirse satisfecho, cifra que si bien son altas, contrastan con indicadores objetivos como los resultados promedio en las Pruebas Saber 11 de los estudiantes caleños, los cuales en 2016, </w:t>
      </w:r>
      <w:r w:rsidRPr="00703BD3">
        <w:rPr>
          <w:rFonts w:asciiTheme="majorHAnsi" w:hAnsiTheme="majorHAnsi" w:cstheme="majorHAnsi"/>
        </w:rPr>
        <w:t>fueron inferiores en lectura, matemática y ciencias naturales, al obtenido por los estudiantes en Bogotá, Medellín, Cartagena, Manizales, Pereira y Barranquilla</w:t>
      </w:r>
      <w:r>
        <w:rPr>
          <w:rFonts w:asciiTheme="majorHAnsi" w:hAnsiTheme="majorHAnsi" w:cstheme="majorHAnsi"/>
        </w:rPr>
        <w:t xml:space="preserve">. </w:t>
      </w:r>
    </w:p>
    <w:tbl>
      <w:tblPr>
        <w:tblStyle w:val="Tablaconcuadrcula"/>
        <w:tblpPr w:leftFromText="141" w:rightFromText="141" w:vertAnchor="text" w:horzAnchor="margin" w:tblpY="24"/>
        <w:tblW w:w="0" w:type="auto"/>
        <w:tblLook w:val="04A0" w:firstRow="1" w:lastRow="0" w:firstColumn="1" w:lastColumn="0" w:noHBand="0" w:noVBand="1"/>
      </w:tblPr>
      <w:tblGrid>
        <w:gridCol w:w="3220"/>
        <w:gridCol w:w="4168"/>
        <w:gridCol w:w="1440"/>
      </w:tblGrid>
      <w:tr w:rsidR="004A2BBF" w:rsidRPr="004A2BBF" w14:paraId="5A7292D7" w14:textId="77777777" w:rsidTr="004A2BBF">
        <w:trPr>
          <w:trHeight w:val="255"/>
        </w:trPr>
        <w:tc>
          <w:tcPr>
            <w:tcW w:w="3220" w:type="dxa"/>
            <w:noWrap/>
            <w:hideMark/>
          </w:tcPr>
          <w:p w14:paraId="4C22ADBC" w14:textId="2E547B58" w:rsidR="003F7148" w:rsidRPr="004A2BBF" w:rsidRDefault="003F7148" w:rsidP="00691130">
            <w:pPr>
              <w:jc w:val="both"/>
              <w:rPr>
                <w:rFonts w:asciiTheme="majorHAnsi" w:hAnsiTheme="majorHAnsi" w:cstheme="majorHAnsi"/>
                <w:b/>
                <w:bCs/>
              </w:rPr>
            </w:pPr>
          </w:p>
        </w:tc>
        <w:tc>
          <w:tcPr>
            <w:tcW w:w="4168" w:type="dxa"/>
            <w:hideMark/>
          </w:tcPr>
          <w:p w14:paraId="696FE5A7" w14:textId="1DFCEC6B" w:rsidR="004A2BBF" w:rsidRPr="004A2BBF" w:rsidRDefault="00E525F1" w:rsidP="004A2BBF">
            <w:pPr>
              <w:jc w:val="both"/>
              <w:rPr>
                <w:rFonts w:asciiTheme="majorHAnsi" w:hAnsiTheme="majorHAnsi" w:cstheme="majorHAnsi"/>
                <w:b/>
                <w:bCs/>
              </w:rPr>
            </w:pPr>
            <w:r>
              <w:rPr>
                <w:rFonts w:asciiTheme="majorHAnsi" w:hAnsiTheme="majorHAnsi" w:cstheme="majorHAnsi"/>
                <w:b/>
                <w:bCs/>
              </w:rPr>
              <w:t>Variables</w:t>
            </w:r>
            <w:r w:rsidR="004A2BBF" w:rsidRPr="004A2BBF">
              <w:rPr>
                <w:rFonts w:asciiTheme="majorHAnsi" w:hAnsiTheme="majorHAnsi" w:cstheme="majorHAnsi"/>
                <w:b/>
                <w:bCs/>
              </w:rPr>
              <w:t xml:space="preserve"> </w:t>
            </w:r>
          </w:p>
        </w:tc>
        <w:tc>
          <w:tcPr>
            <w:tcW w:w="1440" w:type="dxa"/>
            <w:noWrap/>
            <w:hideMark/>
          </w:tcPr>
          <w:p w14:paraId="04CA2824" w14:textId="77777777" w:rsidR="004A2BBF" w:rsidRPr="004A2BBF" w:rsidRDefault="004A2BBF" w:rsidP="004A2BBF">
            <w:pPr>
              <w:jc w:val="both"/>
              <w:rPr>
                <w:rFonts w:asciiTheme="majorHAnsi" w:hAnsiTheme="majorHAnsi" w:cstheme="majorHAnsi"/>
                <w:b/>
                <w:bCs/>
              </w:rPr>
            </w:pPr>
            <w:r w:rsidRPr="004A2BBF">
              <w:rPr>
                <w:rFonts w:asciiTheme="majorHAnsi" w:hAnsiTheme="majorHAnsi" w:cstheme="majorHAnsi"/>
                <w:b/>
                <w:bCs/>
              </w:rPr>
              <w:t>2016</w:t>
            </w:r>
          </w:p>
        </w:tc>
      </w:tr>
      <w:tr w:rsidR="002754F6" w:rsidRPr="004A2BBF" w14:paraId="024E4FD9" w14:textId="77777777" w:rsidTr="002754F6">
        <w:trPr>
          <w:trHeight w:val="255"/>
        </w:trPr>
        <w:tc>
          <w:tcPr>
            <w:tcW w:w="3220" w:type="dxa"/>
            <w:noWrap/>
            <w:hideMark/>
          </w:tcPr>
          <w:p w14:paraId="787830EC" w14:textId="77777777" w:rsidR="002754F6" w:rsidRPr="004A2BBF" w:rsidRDefault="002754F6" w:rsidP="004A2BBF">
            <w:pPr>
              <w:jc w:val="both"/>
              <w:rPr>
                <w:rFonts w:asciiTheme="majorHAnsi" w:hAnsiTheme="majorHAnsi" w:cstheme="majorHAnsi"/>
              </w:rPr>
            </w:pPr>
            <w:r w:rsidRPr="004A2BBF">
              <w:rPr>
                <w:rFonts w:asciiTheme="majorHAnsi" w:hAnsiTheme="majorHAnsi" w:cstheme="majorHAnsi"/>
              </w:rPr>
              <w:t>Indicador 1</w:t>
            </w:r>
          </w:p>
        </w:tc>
        <w:tc>
          <w:tcPr>
            <w:tcW w:w="4168" w:type="dxa"/>
            <w:hideMark/>
          </w:tcPr>
          <w:p w14:paraId="35F9C060" w14:textId="74114366" w:rsidR="002754F6" w:rsidRPr="004A2BBF" w:rsidRDefault="002754F6" w:rsidP="004A2BBF">
            <w:pPr>
              <w:jc w:val="both"/>
              <w:rPr>
                <w:rFonts w:asciiTheme="majorHAnsi" w:hAnsiTheme="majorHAnsi" w:cstheme="majorHAnsi"/>
              </w:rPr>
            </w:pPr>
            <w:r w:rsidRPr="009C64F8">
              <w:rPr>
                <w:rFonts w:ascii="Times New Roman" w:eastAsia="Times New Roman" w:hAnsi="Times New Roman" w:cs="Times New Roman"/>
                <w:color w:val="222222"/>
                <w:sz w:val="24"/>
                <w:szCs w:val="24"/>
                <w:lang w:val="es-ES" w:eastAsia="es-ES"/>
              </w:rPr>
              <w:t>Tasa de cobertura neta en media vocacional</w:t>
            </w:r>
          </w:p>
        </w:tc>
        <w:tc>
          <w:tcPr>
            <w:tcW w:w="1440" w:type="dxa"/>
            <w:noWrap/>
          </w:tcPr>
          <w:p w14:paraId="4955F96B" w14:textId="50CF114E" w:rsidR="002754F6" w:rsidRPr="004A2BBF" w:rsidRDefault="00703BD3" w:rsidP="004457C4">
            <w:pPr>
              <w:jc w:val="right"/>
              <w:rPr>
                <w:rFonts w:asciiTheme="majorHAnsi" w:hAnsiTheme="majorHAnsi" w:cstheme="majorHAnsi"/>
              </w:rPr>
            </w:pPr>
            <w:r>
              <w:rPr>
                <w:rFonts w:asciiTheme="majorHAnsi" w:hAnsiTheme="majorHAnsi" w:cstheme="majorHAnsi"/>
              </w:rPr>
              <w:t>58,6%</w:t>
            </w:r>
          </w:p>
        </w:tc>
      </w:tr>
      <w:tr w:rsidR="002754F6" w:rsidRPr="004A2BBF" w14:paraId="34CE46D6" w14:textId="77777777" w:rsidTr="002754F6">
        <w:trPr>
          <w:trHeight w:val="675"/>
        </w:trPr>
        <w:tc>
          <w:tcPr>
            <w:tcW w:w="3220" w:type="dxa"/>
            <w:noWrap/>
            <w:hideMark/>
          </w:tcPr>
          <w:p w14:paraId="1159E05F" w14:textId="45BEF909" w:rsidR="002754F6" w:rsidRPr="004A2BBF" w:rsidRDefault="002754F6" w:rsidP="004A2BBF">
            <w:pPr>
              <w:jc w:val="both"/>
              <w:rPr>
                <w:rFonts w:asciiTheme="majorHAnsi" w:hAnsiTheme="majorHAnsi" w:cstheme="majorHAnsi"/>
              </w:rPr>
            </w:pPr>
            <w:r>
              <w:rPr>
                <w:rFonts w:asciiTheme="majorHAnsi" w:hAnsiTheme="majorHAnsi" w:cstheme="majorHAnsi"/>
              </w:rPr>
              <w:t>Indicador 2</w:t>
            </w:r>
          </w:p>
        </w:tc>
        <w:tc>
          <w:tcPr>
            <w:tcW w:w="4168" w:type="dxa"/>
            <w:hideMark/>
          </w:tcPr>
          <w:p w14:paraId="40015A41" w14:textId="0401381C" w:rsidR="002754F6" w:rsidRPr="004A2BBF" w:rsidRDefault="002754F6" w:rsidP="004A2BBF">
            <w:pPr>
              <w:jc w:val="both"/>
              <w:rPr>
                <w:rFonts w:asciiTheme="majorHAnsi" w:hAnsiTheme="majorHAnsi" w:cstheme="majorHAnsi"/>
              </w:rPr>
            </w:pPr>
            <w:r w:rsidRPr="009C64F8">
              <w:rPr>
                <w:rFonts w:ascii="Times New Roman" w:eastAsia="Times New Roman" w:hAnsi="Times New Roman" w:cs="Times New Roman"/>
                <w:color w:val="222222"/>
                <w:sz w:val="24"/>
                <w:szCs w:val="24"/>
                <w:lang w:val="es-ES" w:eastAsia="es-ES"/>
              </w:rPr>
              <w:t>Satisfacción con la educación que reciben niños y jóvenes (%)</w:t>
            </w:r>
          </w:p>
        </w:tc>
        <w:tc>
          <w:tcPr>
            <w:tcW w:w="1440" w:type="dxa"/>
            <w:noWrap/>
          </w:tcPr>
          <w:p w14:paraId="0EF053DF" w14:textId="6B12F78F" w:rsidR="002754F6" w:rsidRPr="004A2BBF" w:rsidRDefault="00703BD3" w:rsidP="004457C4">
            <w:pPr>
              <w:jc w:val="right"/>
              <w:rPr>
                <w:rFonts w:asciiTheme="majorHAnsi" w:hAnsiTheme="majorHAnsi" w:cstheme="majorHAnsi"/>
              </w:rPr>
            </w:pPr>
            <w:r>
              <w:rPr>
                <w:rFonts w:asciiTheme="majorHAnsi" w:hAnsiTheme="majorHAnsi" w:cstheme="majorHAnsi"/>
              </w:rPr>
              <w:t>72,0%</w:t>
            </w:r>
          </w:p>
        </w:tc>
      </w:tr>
    </w:tbl>
    <w:p w14:paraId="299B19C1" w14:textId="77777777" w:rsidR="005E06B6" w:rsidRPr="00AA67DA" w:rsidRDefault="005E06B6" w:rsidP="005E06B6">
      <w:pPr>
        <w:jc w:val="both"/>
        <w:rPr>
          <w:rFonts w:asciiTheme="majorHAnsi" w:hAnsiTheme="majorHAnsi" w:cstheme="majorHAnsi"/>
          <w:color w:val="4472C4" w:themeColor="accent1"/>
        </w:rPr>
      </w:pPr>
      <w:r w:rsidRPr="00AA67DA">
        <w:rPr>
          <w:rFonts w:asciiTheme="majorHAnsi" w:hAnsiTheme="majorHAnsi" w:cstheme="majorHAnsi"/>
          <w:color w:val="4472C4" w:themeColor="accent1"/>
        </w:rPr>
        <w:t>Tipo de gráfica: Cruce de variables que refleje la evolución por años y escaleras comparativas por año.</w:t>
      </w:r>
    </w:p>
    <w:p w14:paraId="5C582E81" w14:textId="1A01C54A" w:rsidR="0082757D" w:rsidRPr="004A2BBF" w:rsidRDefault="00D34F88" w:rsidP="0082757D">
      <w:pPr>
        <w:jc w:val="both"/>
        <w:rPr>
          <w:rFonts w:asciiTheme="majorHAnsi" w:hAnsiTheme="majorHAnsi" w:cstheme="majorHAnsi"/>
          <w:b/>
          <w:bCs/>
        </w:rPr>
      </w:pPr>
      <w:bookmarkStart w:id="1" w:name="_Hlk509569830"/>
      <w:r>
        <w:rPr>
          <w:rFonts w:asciiTheme="majorHAnsi" w:hAnsiTheme="majorHAnsi" w:cstheme="majorHAnsi"/>
          <w:b/>
          <w:bCs/>
        </w:rPr>
        <w:t xml:space="preserve">EN SEGURIDAD CIUDADANA, </w:t>
      </w:r>
      <w:r w:rsidR="00C3644F">
        <w:rPr>
          <w:rFonts w:asciiTheme="majorHAnsi" w:hAnsiTheme="majorHAnsi" w:cstheme="majorHAnsi"/>
          <w:b/>
          <w:bCs/>
        </w:rPr>
        <w:t>EL FLAGELO DE CALI</w:t>
      </w:r>
      <w:r w:rsidR="0082757D" w:rsidRPr="004A2BBF">
        <w:rPr>
          <w:rFonts w:asciiTheme="majorHAnsi" w:hAnsiTheme="majorHAnsi" w:cstheme="majorHAnsi"/>
          <w:b/>
          <w:bCs/>
        </w:rPr>
        <w:t xml:space="preserve"> </w:t>
      </w:r>
      <w:r>
        <w:rPr>
          <w:rFonts w:asciiTheme="majorHAnsi" w:hAnsiTheme="majorHAnsi" w:cstheme="majorHAnsi"/>
          <w:b/>
          <w:bCs/>
        </w:rPr>
        <w:t xml:space="preserve"> </w:t>
      </w:r>
    </w:p>
    <w:bookmarkEnd w:id="1"/>
    <w:p w14:paraId="6A5800DA" w14:textId="76D3FFBE" w:rsidR="001A0D1B" w:rsidRDefault="00C3644F" w:rsidP="00C36E9C">
      <w:pPr>
        <w:jc w:val="both"/>
        <w:rPr>
          <w:rFonts w:asciiTheme="majorHAnsi" w:hAnsiTheme="majorHAnsi" w:cstheme="majorHAnsi"/>
        </w:rPr>
      </w:pPr>
      <w:r>
        <w:rPr>
          <w:rFonts w:asciiTheme="majorHAnsi" w:hAnsiTheme="majorHAnsi" w:cstheme="majorHAnsi"/>
        </w:rPr>
        <w:t>En</w:t>
      </w:r>
      <w:r w:rsidR="004A2BBF" w:rsidRPr="004A2BBF">
        <w:rPr>
          <w:rFonts w:asciiTheme="majorHAnsi" w:hAnsiTheme="majorHAnsi" w:cstheme="majorHAnsi"/>
        </w:rPr>
        <w:t xml:space="preserve"> materia de seguridad, </w:t>
      </w:r>
      <w:r>
        <w:rPr>
          <w:rFonts w:asciiTheme="majorHAnsi" w:hAnsiTheme="majorHAnsi" w:cstheme="majorHAnsi"/>
        </w:rPr>
        <w:t>este ha sido el principal limitante a la competitividad de la ciudad en los últimos años. Para nadie es un secreto que Cali registra una de las tasas de homicidios más altas del país y Latinoamérica, que incluso la llevaron a ser la segunda ciudad más peligrosa del mundo hace unos años. Al respecto, es necesario resaltar que desde 2013 la ciudad viene sistemáticamente reduciendo la tasa de homicidios por cada 100 mil habitantes, pasando de 83 en 2013 a 56 en 2016</w:t>
      </w:r>
      <w:r w:rsidR="001A0D1B">
        <w:rPr>
          <w:rFonts w:asciiTheme="majorHAnsi" w:hAnsiTheme="majorHAnsi" w:cstheme="majorHAnsi"/>
        </w:rPr>
        <w:t>. A pesar de ello, es mucho lo que falta por hacer, toda vez que la brecha con otras ciudades capitales es grande por ejemplo, la tasa en Bogotá es de 16 y en Medellín de 22</w:t>
      </w:r>
      <w:r>
        <w:rPr>
          <w:rFonts w:asciiTheme="majorHAnsi" w:hAnsiTheme="majorHAnsi" w:cstheme="majorHAnsi"/>
        </w:rPr>
        <w:t xml:space="preserve"> </w:t>
      </w:r>
      <w:r w:rsidR="001A0D1B">
        <w:rPr>
          <w:rFonts w:asciiTheme="majorHAnsi" w:hAnsiTheme="majorHAnsi" w:cstheme="majorHAnsi"/>
        </w:rPr>
        <w:t>homicidios por cada 100 mil habitantes.</w:t>
      </w:r>
    </w:p>
    <w:p w14:paraId="269FFF9E" w14:textId="2D43A7C5" w:rsidR="00BB6322" w:rsidRPr="00C36E9C" w:rsidRDefault="001A0D1B" w:rsidP="00C36E9C">
      <w:pPr>
        <w:jc w:val="both"/>
        <w:rPr>
          <w:rFonts w:asciiTheme="majorHAnsi" w:hAnsiTheme="majorHAnsi" w:cstheme="majorHAnsi"/>
        </w:rPr>
      </w:pPr>
      <w:r>
        <w:rPr>
          <w:rFonts w:asciiTheme="majorHAnsi" w:hAnsiTheme="majorHAnsi" w:cstheme="majorHAnsi"/>
        </w:rPr>
        <w:t xml:space="preserve">En el tema de lesiones personales, si bien Cali no es una de las ciudades con las tasas de lesiones por </w:t>
      </w:r>
      <w:r w:rsidRPr="001A0D1B">
        <w:rPr>
          <w:rFonts w:asciiTheme="majorHAnsi" w:hAnsiTheme="majorHAnsi" w:cstheme="majorHAnsi"/>
        </w:rPr>
        <w:t>violencia interpersonal</w:t>
      </w:r>
      <w:r>
        <w:rPr>
          <w:rFonts w:asciiTheme="majorHAnsi" w:hAnsiTheme="majorHAnsi" w:cstheme="majorHAnsi"/>
        </w:rPr>
        <w:t xml:space="preserve"> más altas del país, si registra cifras que, a 2016, alcanzó 207 casos por cada 100 mil habitantes, situación que se aleja de sociedades con altos niveles de desarrollo.</w:t>
      </w:r>
    </w:p>
    <w:tbl>
      <w:tblPr>
        <w:tblStyle w:val="Tablaconcuadrcula"/>
        <w:tblW w:w="0" w:type="auto"/>
        <w:tblLook w:val="04A0" w:firstRow="1" w:lastRow="0" w:firstColumn="1" w:lastColumn="0" w:noHBand="0" w:noVBand="1"/>
      </w:tblPr>
      <w:tblGrid>
        <w:gridCol w:w="3220"/>
        <w:gridCol w:w="4168"/>
        <w:gridCol w:w="1440"/>
      </w:tblGrid>
      <w:tr w:rsidR="00E525F1" w:rsidRPr="004A2BBF" w14:paraId="3E38C436" w14:textId="77777777" w:rsidTr="0082757D">
        <w:trPr>
          <w:trHeight w:val="255"/>
        </w:trPr>
        <w:tc>
          <w:tcPr>
            <w:tcW w:w="3220" w:type="dxa"/>
            <w:noWrap/>
          </w:tcPr>
          <w:p w14:paraId="3FDA1BAC" w14:textId="2F4E3E15" w:rsidR="00E525F1" w:rsidRPr="004A2BBF" w:rsidRDefault="00E525F1" w:rsidP="00276C47">
            <w:pPr>
              <w:jc w:val="both"/>
              <w:rPr>
                <w:rFonts w:asciiTheme="majorHAnsi" w:hAnsiTheme="majorHAnsi" w:cstheme="majorHAnsi"/>
                <w:b/>
                <w:bCs/>
              </w:rPr>
            </w:pPr>
          </w:p>
        </w:tc>
        <w:tc>
          <w:tcPr>
            <w:tcW w:w="4168" w:type="dxa"/>
            <w:hideMark/>
          </w:tcPr>
          <w:p w14:paraId="2D64685B" w14:textId="2647240B" w:rsidR="00E525F1" w:rsidRPr="004A2BBF" w:rsidRDefault="00E525F1" w:rsidP="004A2BBF">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000440DB" w14:textId="77777777" w:rsidR="00E525F1" w:rsidRPr="004A2BBF" w:rsidRDefault="00E525F1" w:rsidP="004A2BBF">
            <w:pPr>
              <w:jc w:val="both"/>
              <w:rPr>
                <w:rFonts w:asciiTheme="majorHAnsi" w:hAnsiTheme="majorHAnsi" w:cstheme="majorHAnsi"/>
                <w:b/>
                <w:bCs/>
              </w:rPr>
            </w:pPr>
            <w:r w:rsidRPr="004A2BBF">
              <w:rPr>
                <w:rFonts w:asciiTheme="majorHAnsi" w:hAnsiTheme="majorHAnsi" w:cstheme="majorHAnsi"/>
                <w:b/>
                <w:bCs/>
              </w:rPr>
              <w:t>2016</w:t>
            </w:r>
          </w:p>
        </w:tc>
      </w:tr>
      <w:tr w:rsidR="002754F6" w:rsidRPr="004A2BBF" w14:paraId="298D0EC3" w14:textId="77777777" w:rsidTr="00E525F1">
        <w:trPr>
          <w:trHeight w:val="690"/>
        </w:trPr>
        <w:tc>
          <w:tcPr>
            <w:tcW w:w="3220" w:type="dxa"/>
            <w:noWrap/>
            <w:hideMark/>
          </w:tcPr>
          <w:p w14:paraId="22CC1D5E" w14:textId="77777777" w:rsidR="002754F6" w:rsidRPr="004A2BBF" w:rsidRDefault="002754F6" w:rsidP="004A2BBF">
            <w:pPr>
              <w:jc w:val="both"/>
              <w:rPr>
                <w:rFonts w:asciiTheme="majorHAnsi" w:hAnsiTheme="majorHAnsi" w:cstheme="majorHAnsi"/>
              </w:rPr>
            </w:pPr>
            <w:r w:rsidRPr="004A2BBF">
              <w:rPr>
                <w:rFonts w:asciiTheme="majorHAnsi" w:hAnsiTheme="majorHAnsi" w:cstheme="majorHAnsi"/>
              </w:rPr>
              <w:t>Indicador 1</w:t>
            </w:r>
          </w:p>
        </w:tc>
        <w:tc>
          <w:tcPr>
            <w:tcW w:w="4168" w:type="dxa"/>
            <w:hideMark/>
          </w:tcPr>
          <w:p w14:paraId="0B8F6702" w14:textId="72934ABE" w:rsidR="002754F6" w:rsidRPr="004A2BBF" w:rsidRDefault="002754F6" w:rsidP="004A2BBF">
            <w:pPr>
              <w:jc w:val="both"/>
              <w:rPr>
                <w:rFonts w:asciiTheme="majorHAnsi" w:hAnsiTheme="majorHAnsi" w:cstheme="majorHAnsi"/>
              </w:rPr>
            </w:pPr>
            <w:r w:rsidRPr="009C64F8">
              <w:rPr>
                <w:rFonts w:ascii="Times New Roman" w:eastAsia="Times New Roman" w:hAnsi="Times New Roman" w:cs="Times New Roman"/>
                <w:color w:val="222222"/>
                <w:sz w:val="24"/>
                <w:szCs w:val="24"/>
                <w:lang w:val="es-ES" w:eastAsia="es-ES"/>
              </w:rPr>
              <w:t>Tasa de homicidios por cada 100 mil habitantes</w:t>
            </w:r>
          </w:p>
        </w:tc>
        <w:tc>
          <w:tcPr>
            <w:tcW w:w="1440" w:type="dxa"/>
            <w:noWrap/>
            <w:hideMark/>
          </w:tcPr>
          <w:p w14:paraId="176F729F" w14:textId="39DC721B" w:rsidR="002754F6" w:rsidRPr="004A2BBF" w:rsidRDefault="004457C4" w:rsidP="004457C4">
            <w:pPr>
              <w:jc w:val="right"/>
              <w:rPr>
                <w:rFonts w:asciiTheme="majorHAnsi" w:hAnsiTheme="majorHAnsi" w:cstheme="majorHAnsi"/>
              </w:rPr>
            </w:pPr>
            <w:r>
              <w:rPr>
                <w:rFonts w:asciiTheme="majorHAnsi" w:hAnsiTheme="majorHAnsi" w:cstheme="majorHAnsi"/>
              </w:rPr>
              <w:t>56</w:t>
            </w:r>
          </w:p>
        </w:tc>
      </w:tr>
      <w:tr w:rsidR="002754F6" w:rsidRPr="004A2BBF" w14:paraId="732043E1" w14:textId="77777777" w:rsidTr="00E525F1">
        <w:trPr>
          <w:trHeight w:val="255"/>
        </w:trPr>
        <w:tc>
          <w:tcPr>
            <w:tcW w:w="3220" w:type="dxa"/>
            <w:noWrap/>
            <w:hideMark/>
          </w:tcPr>
          <w:p w14:paraId="237C0FE1" w14:textId="3E13B6DF" w:rsidR="002754F6" w:rsidRPr="004A2BBF" w:rsidRDefault="002754F6" w:rsidP="004A2BBF">
            <w:pPr>
              <w:jc w:val="both"/>
              <w:rPr>
                <w:rFonts w:asciiTheme="majorHAnsi" w:hAnsiTheme="majorHAnsi" w:cstheme="majorHAnsi"/>
              </w:rPr>
            </w:pPr>
            <w:r>
              <w:rPr>
                <w:rFonts w:asciiTheme="majorHAnsi" w:hAnsiTheme="majorHAnsi" w:cstheme="majorHAnsi"/>
              </w:rPr>
              <w:t>Indicador 2</w:t>
            </w:r>
          </w:p>
        </w:tc>
        <w:tc>
          <w:tcPr>
            <w:tcW w:w="4168" w:type="dxa"/>
            <w:hideMark/>
          </w:tcPr>
          <w:p w14:paraId="6979F7B0" w14:textId="59241B65" w:rsidR="002754F6" w:rsidRPr="004A2BBF" w:rsidRDefault="002754F6" w:rsidP="004A2BBF">
            <w:pPr>
              <w:jc w:val="both"/>
              <w:rPr>
                <w:rFonts w:asciiTheme="majorHAnsi" w:hAnsiTheme="majorHAnsi" w:cstheme="majorHAnsi"/>
              </w:rPr>
            </w:pPr>
            <w:r w:rsidRPr="009C64F8">
              <w:rPr>
                <w:rFonts w:ascii="Times New Roman" w:eastAsia="Times New Roman" w:hAnsi="Times New Roman" w:cs="Times New Roman"/>
                <w:color w:val="222222"/>
                <w:sz w:val="24"/>
                <w:szCs w:val="24"/>
                <w:lang w:val="es-ES" w:eastAsia="es-ES"/>
              </w:rPr>
              <w:t>Tasa de lesiones personales</w:t>
            </w:r>
            <w:r w:rsidR="001A0D1B">
              <w:rPr>
                <w:rFonts w:ascii="Times New Roman" w:eastAsia="Times New Roman" w:hAnsi="Times New Roman" w:cs="Times New Roman"/>
                <w:color w:val="222222"/>
                <w:sz w:val="24"/>
                <w:szCs w:val="24"/>
                <w:lang w:val="es-ES" w:eastAsia="es-ES"/>
              </w:rPr>
              <w:t xml:space="preserve"> (violencia interpersonal)</w:t>
            </w:r>
            <w:r w:rsidRPr="009C64F8">
              <w:rPr>
                <w:rFonts w:ascii="Times New Roman" w:eastAsia="Times New Roman" w:hAnsi="Times New Roman" w:cs="Times New Roman"/>
                <w:color w:val="222222"/>
                <w:sz w:val="24"/>
                <w:szCs w:val="24"/>
                <w:lang w:val="es-ES" w:eastAsia="es-ES"/>
              </w:rPr>
              <w:t xml:space="preserve"> por cada 100 mil habitantes</w:t>
            </w:r>
          </w:p>
        </w:tc>
        <w:tc>
          <w:tcPr>
            <w:tcW w:w="1440" w:type="dxa"/>
            <w:noWrap/>
            <w:hideMark/>
          </w:tcPr>
          <w:p w14:paraId="072009AF" w14:textId="59124AA0" w:rsidR="002754F6" w:rsidRPr="004A2BBF" w:rsidRDefault="002754F6" w:rsidP="004457C4">
            <w:pPr>
              <w:jc w:val="right"/>
              <w:rPr>
                <w:rFonts w:asciiTheme="majorHAnsi" w:hAnsiTheme="majorHAnsi" w:cstheme="majorHAnsi"/>
              </w:rPr>
            </w:pPr>
            <w:r w:rsidRPr="004A2BBF">
              <w:rPr>
                <w:rFonts w:asciiTheme="majorHAnsi" w:hAnsiTheme="majorHAnsi" w:cstheme="majorHAnsi"/>
              </w:rPr>
              <w:t> </w:t>
            </w:r>
            <w:r w:rsidR="004457C4">
              <w:rPr>
                <w:rFonts w:asciiTheme="majorHAnsi" w:hAnsiTheme="majorHAnsi" w:cstheme="majorHAnsi"/>
              </w:rPr>
              <w:t>207</w:t>
            </w:r>
          </w:p>
        </w:tc>
      </w:tr>
    </w:tbl>
    <w:p w14:paraId="49E20C1F" w14:textId="1BFA9929"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55ADC864" w14:textId="1A874D3A" w:rsidR="000E0D36" w:rsidRDefault="000E0D36" w:rsidP="00C36E9C">
      <w:pPr>
        <w:jc w:val="both"/>
        <w:rPr>
          <w:rFonts w:asciiTheme="majorHAnsi" w:hAnsiTheme="majorHAnsi" w:cstheme="majorHAnsi"/>
        </w:rPr>
      </w:pPr>
    </w:p>
    <w:p w14:paraId="49FAE3FC" w14:textId="43C71066" w:rsidR="00AD6AA9" w:rsidRPr="00202E84" w:rsidRDefault="001A0D1B" w:rsidP="00AD6AA9">
      <w:pPr>
        <w:jc w:val="both"/>
        <w:rPr>
          <w:rFonts w:asciiTheme="majorHAnsi" w:hAnsiTheme="majorHAnsi" w:cstheme="majorHAnsi"/>
          <w:b/>
          <w:bCs/>
        </w:rPr>
      </w:pPr>
      <w:r>
        <w:rPr>
          <w:rFonts w:asciiTheme="majorHAnsi" w:hAnsiTheme="majorHAnsi" w:cstheme="majorHAnsi"/>
          <w:b/>
          <w:bCs/>
        </w:rPr>
        <w:t xml:space="preserve">LA POBREZA </w:t>
      </w:r>
      <w:r w:rsidR="004457C4">
        <w:rPr>
          <w:rFonts w:asciiTheme="majorHAnsi" w:hAnsiTheme="majorHAnsi" w:cstheme="majorHAnsi"/>
          <w:b/>
          <w:bCs/>
        </w:rPr>
        <w:t>EN CALI, UN TEMA EN EL QUE LA CIUDAD AVANZA</w:t>
      </w:r>
      <w:r>
        <w:rPr>
          <w:rFonts w:asciiTheme="majorHAnsi" w:hAnsiTheme="majorHAnsi" w:cstheme="majorHAnsi"/>
          <w:b/>
          <w:bCs/>
        </w:rPr>
        <w:t xml:space="preserve"> </w:t>
      </w:r>
      <w:r w:rsidR="004457C4">
        <w:rPr>
          <w:rFonts w:asciiTheme="majorHAnsi" w:hAnsiTheme="majorHAnsi" w:cstheme="majorHAnsi"/>
          <w:b/>
          <w:bCs/>
        </w:rPr>
        <w:t>PERO QUE LOS CALEÑOS NO PERCIBEN</w:t>
      </w:r>
    </w:p>
    <w:p w14:paraId="67EC7794" w14:textId="50C3A690" w:rsidR="00BB6322" w:rsidRPr="00C36E9C" w:rsidRDefault="004457C4" w:rsidP="00C36E9C">
      <w:pPr>
        <w:jc w:val="both"/>
        <w:rPr>
          <w:rFonts w:asciiTheme="majorHAnsi" w:hAnsiTheme="majorHAnsi" w:cstheme="majorHAnsi"/>
        </w:rPr>
      </w:pPr>
      <w:r w:rsidRPr="004457C4">
        <w:rPr>
          <w:rFonts w:asciiTheme="majorHAnsi" w:hAnsiTheme="majorHAnsi" w:cstheme="majorHAnsi"/>
        </w:rPr>
        <w:t>La incidencia de pobreza monetaria en Cali en 2016 se registró en 15,5%, cifra inferior a la registrada en Colombia (28,0%). Se destaca que, entre 2011 y 2016 la pobreza monetaria en Cali se redujo 9,7 puntos porcentuales (pp), reducción mayor a la registrada en Colombia (6,1 pp).</w:t>
      </w:r>
      <w:r>
        <w:rPr>
          <w:rFonts w:asciiTheme="majorHAnsi" w:hAnsiTheme="majorHAnsi" w:cstheme="majorHAnsi"/>
        </w:rPr>
        <w:t xml:space="preserve"> A pesar de ello, parece que dicha reducción en las medidas de pobreza en Cali no son percibidas por los caleños, toda vez que en los  últimos 2 años (2015-2016) la autopercepción de pobreza se ha incrementado en la ciudad, pasando de 13% en 2015 a 19% en 2016. </w:t>
      </w:r>
    </w:p>
    <w:tbl>
      <w:tblPr>
        <w:tblStyle w:val="Tablaconcuadrcula"/>
        <w:tblW w:w="0" w:type="auto"/>
        <w:tblLook w:val="04A0" w:firstRow="1" w:lastRow="0" w:firstColumn="1" w:lastColumn="0" w:noHBand="0" w:noVBand="1"/>
      </w:tblPr>
      <w:tblGrid>
        <w:gridCol w:w="3220"/>
        <w:gridCol w:w="4168"/>
        <w:gridCol w:w="1440"/>
      </w:tblGrid>
      <w:tr w:rsidR="00202E84" w:rsidRPr="00202E84" w14:paraId="341FDDD5" w14:textId="77777777" w:rsidTr="00AD6AA9">
        <w:trPr>
          <w:trHeight w:val="255"/>
        </w:trPr>
        <w:tc>
          <w:tcPr>
            <w:tcW w:w="3220" w:type="dxa"/>
            <w:noWrap/>
          </w:tcPr>
          <w:p w14:paraId="755F1756" w14:textId="48B9CA00" w:rsidR="006348CF" w:rsidRPr="00202E84" w:rsidRDefault="006348CF" w:rsidP="006348CF">
            <w:pPr>
              <w:jc w:val="both"/>
              <w:rPr>
                <w:rFonts w:asciiTheme="majorHAnsi" w:hAnsiTheme="majorHAnsi" w:cstheme="majorHAnsi"/>
                <w:b/>
                <w:bCs/>
              </w:rPr>
            </w:pPr>
          </w:p>
        </w:tc>
        <w:tc>
          <w:tcPr>
            <w:tcW w:w="4168" w:type="dxa"/>
            <w:hideMark/>
          </w:tcPr>
          <w:p w14:paraId="5C0F353A" w14:textId="0136BE68" w:rsidR="00202E84" w:rsidRPr="00202E84" w:rsidRDefault="00E525F1" w:rsidP="00202E84">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4E79DCFE" w14:textId="77777777" w:rsidR="00202E84" w:rsidRPr="00202E84" w:rsidRDefault="00202E84" w:rsidP="00202E84">
            <w:pPr>
              <w:jc w:val="both"/>
              <w:rPr>
                <w:rFonts w:asciiTheme="majorHAnsi" w:hAnsiTheme="majorHAnsi" w:cstheme="majorHAnsi"/>
                <w:b/>
                <w:bCs/>
              </w:rPr>
            </w:pPr>
            <w:r w:rsidRPr="00202E84">
              <w:rPr>
                <w:rFonts w:asciiTheme="majorHAnsi" w:hAnsiTheme="majorHAnsi" w:cstheme="majorHAnsi"/>
                <w:b/>
                <w:bCs/>
              </w:rPr>
              <w:t>2016</w:t>
            </w:r>
          </w:p>
        </w:tc>
      </w:tr>
      <w:tr w:rsidR="002754F6" w:rsidRPr="00202E84" w14:paraId="324E6E75" w14:textId="77777777" w:rsidTr="002754F6">
        <w:trPr>
          <w:trHeight w:val="600"/>
        </w:trPr>
        <w:tc>
          <w:tcPr>
            <w:tcW w:w="3220" w:type="dxa"/>
            <w:noWrap/>
            <w:hideMark/>
          </w:tcPr>
          <w:p w14:paraId="458DFAE3" w14:textId="77777777" w:rsidR="002754F6" w:rsidRPr="00202E84" w:rsidRDefault="002754F6" w:rsidP="00202E84">
            <w:pPr>
              <w:jc w:val="both"/>
              <w:rPr>
                <w:rFonts w:asciiTheme="majorHAnsi" w:hAnsiTheme="majorHAnsi" w:cstheme="majorHAnsi"/>
              </w:rPr>
            </w:pPr>
            <w:r w:rsidRPr="00202E84">
              <w:rPr>
                <w:rFonts w:asciiTheme="majorHAnsi" w:hAnsiTheme="majorHAnsi" w:cstheme="majorHAnsi"/>
              </w:rPr>
              <w:t>Indicador 1</w:t>
            </w:r>
          </w:p>
        </w:tc>
        <w:tc>
          <w:tcPr>
            <w:tcW w:w="4168" w:type="dxa"/>
            <w:hideMark/>
          </w:tcPr>
          <w:p w14:paraId="72DEAD61" w14:textId="393C5B2F" w:rsidR="002754F6" w:rsidRPr="00202E84" w:rsidRDefault="002754F6" w:rsidP="00202E84">
            <w:pPr>
              <w:jc w:val="both"/>
              <w:rPr>
                <w:rFonts w:asciiTheme="majorHAnsi" w:hAnsiTheme="majorHAnsi" w:cstheme="majorHAnsi"/>
              </w:rPr>
            </w:pPr>
            <w:r w:rsidRPr="008C0402">
              <w:t>Incidencia de la pobreza monetaria</w:t>
            </w:r>
          </w:p>
        </w:tc>
        <w:tc>
          <w:tcPr>
            <w:tcW w:w="1440" w:type="dxa"/>
            <w:noWrap/>
          </w:tcPr>
          <w:p w14:paraId="63AE570D" w14:textId="342C46C5" w:rsidR="002754F6" w:rsidRPr="00202E84" w:rsidRDefault="004457C4" w:rsidP="004457C4">
            <w:pPr>
              <w:jc w:val="right"/>
              <w:rPr>
                <w:rFonts w:asciiTheme="majorHAnsi" w:hAnsiTheme="majorHAnsi" w:cstheme="majorHAnsi"/>
              </w:rPr>
            </w:pPr>
            <w:r>
              <w:rPr>
                <w:rFonts w:asciiTheme="majorHAnsi" w:hAnsiTheme="majorHAnsi" w:cstheme="majorHAnsi"/>
              </w:rPr>
              <w:t>15,5%</w:t>
            </w:r>
          </w:p>
        </w:tc>
      </w:tr>
      <w:tr w:rsidR="002754F6" w:rsidRPr="00202E84" w14:paraId="59CF3135" w14:textId="77777777" w:rsidTr="002754F6">
        <w:trPr>
          <w:trHeight w:val="255"/>
        </w:trPr>
        <w:tc>
          <w:tcPr>
            <w:tcW w:w="3220" w:type="dxa"/>
            <w:noWrap/>
            <w:hideMark/>
          </w:tcPr>
          <w:p w14:paraId="05F04517" w14:textId="591548AD" w:rsidR="002754F6" w:rsidRPr="00202E84" w:rsidRDefault="001A0D1B" w:rsidP="00202E84">
            <w:pPr>
              <w:jc w:val="both"/>
              <w:rPr>
                <w:rFonts w:asciiTheme="majorHAnsi" w:hAnsiTheme="majorHAnsi" w:cstheme="majorHAnsi"/>
              </w:rPr>
            </w:pPr>
            <w:r>
              <w:rPr>
                <w:rFonts w:asciiTheme="majorHAnsi" w:hAnsiTheme="majorHAnsi" w:cstheme="majorHAnsi"/>
              </w:rPr>
              <w:t>Indicador 2</w:t>
            </w:r>
          </w:p>
        </w:tc>
        <w:tc>
          <w:tcPr>
            <w:tcW w:w="4168" w:type="dxa"/>
            <w:hideMark/>
          </w:tcPr>
          <w:p w14:paraId="6D973AE0" w14:textId="4A8661A9" w:rsidR="002754F6" w:rsidRPr="00202E84" w:rsidRDefault="002754F6" w:rsidP="00202E84">
            <w:pPr>
              <w:jc w:val="both"/>
              <w:rPr>
                <w:rFonts w:asciiTheme="majorHAnsi" w:hAnsiTheme="majorHAnsi" w:cstheme="majorHAnsi"/>
              </w:rPr>
            </w:pPr>
            <w:r w:rsidRPr="008C0402">
              <w:t>Autopercepción de pobreza</w:t>
            </w:r>
          </w:p>
        </w:tc>
        <w:tc>
          <w:tcPr>
            <w:tcW w:w="1440" w:type="dxa"/>
            <w:noWrap/>
          </w:tcPr>
          <w:p w14:paraId="5DBA9411" w14:textId="4650AA25" w:rsidR="002754F6" w:rsidRPr="00202E84" w:rsidRDefault="004457C4" w:rsidP="004457C4">
            <w:pPr>
              <w:jc w:val="right"/>
              <w:rPr>
                <w:rFonts w:asciiTheme="majorHAnsi" w:hAnsiTheme="majorHAnsi" w:cstheme="majorHAnsi"/>
              </w:rPr>
            </w:pPr>
            <w:r>
              <w:rPr>
                <w:rFonts w:asciiTheme="majorHAnsi" w:hAnsiTheme="majorHAnsi" w:cstheme="majorHAnsi"/>
              </w:rPr>
              <w:t>18%</w:t>
            </w:r>
          </w:p>
        </w:tc>
      </w:tr>
    </w:tbl>
    <w:p w14:paraId="72E5789B" w14:textId="77777777"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223238C8" w14:textId="236A82AA" w:rsidR="00202E84" w:rsidRDefault="00202E84" w:rsidP="00202E84">
      <w:pPr>
        <w:jc w:val="both"/>
        <w:rPr>
          <w:rFonts w:asciiTheme="majorHAnsi" w:hAnsiTheme="majorHAnsi" w:cstheme="majorHAnsi"/>
        </w:rPr>
      </w:pPr>
    </w:p>
    <w:p w14:paraId="48236702" w14:textId="4A9C1330" w:rsidR="00AD6AA9" w:rsidRPr="00AD6AA9" w:rsidRDefault="008675CE" w:rsidP="00202E84">
      <w:pPr>
        <w:jc w:val="both"/>
        <w:rPr>
          <w:rFonts w:asciiTheme="majorHAnsi" w:hAnsiTheme="majorHAnsi" w:cstheme="majorHAnsi"/>
          <w:b/>
        </w:rPr>
      </w:pPr>
      <w:r>
        <w:rPr>
          <w:rFonts w:asciiTheme="majorHAnsi" w:hAnsiTheme="majorHAnsi" w:cstheme="majorHAnsi"/>
          <w:b/>
        </w:rPr>
        <w:t>GOBIERNO ABIERTO UNA TAREA QUE SE ESTÁ HACIENDO PERO QUE PUEDE MEJORAR</w:t>
      </w:r>
    </w:p>
    <w:p w14:paraId="0A6143BF" w14:textId="25D6A4AA" w:rsidR="00202E84" w:rsidRDefault="008675CE" w:rsidP="00202E84">
      <w:pPr>
        <w:jc w:val="both"/>
        <w:rPr>
          <w:rFonts w:asciiTheme="majorHAnsi" w:hAnsiTheme="majorHAnsi" w:cstheme="majorHAnsi"/>
        </w:rPr>
      </w:pPr>
      <w:r>
        <w:rPr>
          <w:rFonts w:asciiTheme="majorHAnsi" w:hAnsiTheme="majorHAnsi" w:cstheme="majorHAnsi"/>
        </w:rPr>
        <w:t>En cuanto al índice de gobierno abierto, el cual e</w:t>
      </w:r>
      <w:r w:rsidRPr="008675CE">
        <w:rPr>
          <w:rFonts w:asciiTheme="majorHAnsi" w:hAnsiTheme="majorHAnsi" w:cstheme="majorHAnsi"/>
        </w:rPr>
        <w:t>s un indicador compuesto que determina el nivel de reporte de información y el estado de avance en la implementación de algunas normas que buscan promover el fortalecimiento de la gestión pública territorial</w:t>
      </w:r>
      <w:r>
        <w:rPr>
          <w:rFonts w:asciiTheme="majorHAnsi" w:hAnsiTheme="majorHAnsi" w:cstheme="majorHAnsi"/>
        </w:rPr>
        <w:t>, en general Cali obtuvo un resultado bueno (rango alto) en 2016 (74,4 – el rango alto mayor a 70). Sin embargo, desagregando el índice, existen algunos factores en los cuales la ciudad debe avanzar tales como control interno (se ubica en rango medio), gestión documental (rango bajo), contratación (rango medio) y atención al ciudadano (rango medio).</w:t>
      </w:r>
    </w:p>
    <w:tbl>
      <w:tblPr>
        <w:tblStyle w:val="Tablaconcuadrcula"/>
        <w:tblW w:w="0" w:type="auto"/>
        <w:tblLook w:val="04A0" w:firstRow="1" w:lastRow="0" w:firstColumn="1" w:lastColumn="0" w:noHBand="0" w:noVBand="1"/>
      </w:tblPr>
      <w:tblGrid>
        <w:gridCol w:w="7120"/>
        <w:gridCol w:w="1440"/>
      </w:tblGrid>
      <w:tr w:rsidR="00202E84" w:rsidRPr="00202E84" w14:paraId="4E585281" w14:textId="77777777" w:rsidTr="00202E84">
        <w:trPr>
          <w:trHeight w:val="255"/>
        </w:trPr>
        <w:tc>
          <w:tcPr>
            <w:tcW w:w="7120" w:type="dxa"/>
            <w:hideMark/>
          </w:tcPr>
          <w:p w14:paraId="22BCBA74" w14:textId="6C7918F1" w:rsidR="00202E84" w:rsidRPr="00202E84" w:rsidRDefault="00135873" w:rsidP="00202E84">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3D49AC00" w14:textId="77777777" w:rsidR="00202E84" w:rsidRPr="00202E84" w:rsidRDefault="00202E84" w:rsidP="00202E84">
            <w:pPr>
              <w:jc w:val="both"/>
              <w:rPr>
                <w:rFonts w:asciiTheme="majorHAnsi" w:hAnsiTheme="majorHAnsi" w:cstheme="majorHAnsi"/>
                <w:b/>
                <w:bCs/>
              </w:rPr>
            </w:pPr>
            <w:r w:rsidRPr="00202E84">
              <w:rPr>
                <w:rFonts w:asciiTheme="majorHAnsi" w:hAnsiTheme="majorHAnsi" w:cstheme="majorHAnsi"/>
                <w:b/>
                <w:bCs/>
              </w:rPr>
              <w:t>2016</w:t>
            </w:r>
          </w:p>
        </w:tc>
      </w:tr>
      <w:tr w:rsidR="00202E84" w:rsidRPr="00202E84" w14:paraId="198B24B9" w14:textId="77777777" w:rsidTr="002754F6">
        <w:trPr>
          <w:trHeight w:val="495"/>
        </w:trPr>
        <w:tc>
          <w:tcPr>
            <w:tcW w:w="7120" w:type="dxa"/>
            <w:hideMark/>
          </w:tcPr>
          <w:p w14:paraId="2D620092" w14:textId="0394BF9E" w:rsidR="00202E84" w:rsidRPr="00202E84" w:rsidRDefault="002754F6" w:rsidP="00202E84">
            <w:pPr>
              <w:jc w:val="both"/>
              <w:rPr>
                <w:rFonts w:asciiTheme="majorHAnsi" w:hAnsiTheme="majorHAnsi" w:cstheme="majorHAnsi"/>
              </w:rPr>
            </w:pPr>
            <w:r w:rsidRPr="009C64F8">
              <w:rPr>
                <w:rFonts w:ascii="Times New Roman" w:eastAsia="Times New Roman" w:hAnsi="Times New Roman" w:cs="Times New Roman"/>
                <w:color w:val="222222"/>
                <w:sz w:val="24"/>
                <w:szCs w:val="24"/>
                <w:lang w:val="es-ES" w:eastAsia="es-ES"/>
              </w:rPr>
              <w:t>Índice de gobierno abierto</w:t>
            </w:r>
          </w:p>
        </w:tc>
        <w:tc>
          <w:tcPr>
            <w:tcW w:w="1440" w:type="dxa"/>
            <w:noWrap/>
          </w:tcPr>
          <w:p w14:paraId="23BCB57C" w14:textId="5665D2D9" w:rsidR="00202E84" w:rsidRPr="00202E84" w:rsidRDefault="004457C4" w:rsidP="004457C4">
            <w:pPr>
              <w:jc w:val="right"/>
              <w:rPr>
                <w:rFonts w:asciiTheme="majorHAnsi" w:hAnsiTheme="majorHAnsi" w:cstheme="majorHAnsi"/>
              </w:rPr>
            </w:pPr>
            <w:r>
              <w:rPr>
                <w:rFonts w:asciiTheme="majorHAnsi" w:hAnsiTheme="majorHAnsi" w:cstheme="majorHAnsi"/>
              </w:rPr>
              <w:t>74,4</w:t>
            </w:r>
          </w:p>
        </w:tc>
      </w:tr>
    </w:tbl>
    <w:p w14:paraId="040C3FB7" w14:textId="6591CBAA" w:rsidR="00C36E9C" w:rsidRPr="00C36E9C" w:rsidRDefault="004317F6" w:rsidP="00C36E9C">
      <w:pPr>
        <w:jc w:val="both"/>
        <w:rPr>
          <w:rFonts w:asciiTheme="majorHAnsi" w:hAnsiTheme="majorHAnsi" w:cstheme="majorHAnsi"/>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sectPr w:rsidR="00C36E9C" w:rsidRPr="00C36E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22"/>
    <w:rsid w:val="00091D6C"/>
    <w:rsid w:val="000B7F93"/>
    <w:rsid w:val="000E0D36"/>
    <w:rsid w:val="00121605"/>
    <w:rsid w:val="00134E7D"/>
    <w:rsid w:val="00135873"/>
    <w:rsid w:val="00181956"/>
    <w:rsid w:val="001A0D1B"/>
    <w:rsid w:val="00202E84"/>
    <w:rsid w:val="00233751"/>
    <w:rsid w:val="0025735E"/>
    <w:rsid w:val="002754F6"/>
    <w:rsid w:val="00276C47"/>
    <w:rsid w:val="003F7148"/>
    <w:rsid w:val="004317F6"/>
    <w:rsid w:val="004457C4"/>
    <w:rsid w:val="004A2BBF"/>
    <w:rsid w:val="004E5C27"/>
    <w:rsid w:val="005E06B6"/>
    <w:rsid w:val="006348CF"/>
    <w:rsid w:val="00691130"/>
    <w:rsid w:val="00703BD3"/>
    <w:rsid w:val="0078682F"/>
    <w:rsid w:val="007C1E1D"/>
    <w:rsid w:val="0082757D"/>
    <w:rsid w:val="008675CE"/>
    <w:rsid w:val="008B05C7"/>
    <w:rsid w:val="00933407"/>
    <w:rsid w:val="00962F6C"/>
    <w:rsid w:val="009C64F8"/>
    <w:rsid w:val="00AD6AA9"/>
    <w:rsid w:val="00B237DA"/>
    <w:rsid w:val="00B55932"/>
    <w:rsid w:val="00BB6322"/>
    <w:rsid w:val="00C3644F"/>
    <w:rsid w:val="00C36E9C"/>
    <w:rsid w:val="00CA2AB8"/>
    <w:rsid w:val="00D34F88"/>
    <w:rsid w:val="00E52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715E"/>
  <w15:docId w15:val="{E95425C1-B577-447C-8A76-7878420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36360916">
      <w:bodyDiv w:val="1"/>
      <w:marLeft w:val="0"/>
      <w:marRight w:val="0"/>
      <w:marTop w:val="0"/>
      <w:marBottom w:val="0"/>
      <w:divBdr>
        <w:top w:val="none" w:sz="0" w:space="0" w:color="auto"/>
        <w:left w:val="none" w:sz="0" w:space="0" w:color="auto"/>
        <w:bottom w:val="none" w:sz="0" w:space="0" w:color="auto"/>
        <w:right w:val="none" w:sz="0" w:space="0" w:color="auto"/>
      </w:divBdr>
    </w:div>
    <w:div w:id="538125329">
      <w:bodyDiv w:val="1"/>
      <w:marLeft w:val="0"/>
      <w:marRight w:val="0"/>
      <w:marTop w:val="0"/>
      <w:marBottom w:val="0"/>
      <w:divBdr>
        <w:top w:val="none" w:sz="0" w:space="0" w:color="auto"/>
        <w:left w:val="none" w:sz="0" w:space="0" w:color="auto"/>
        <w:bottom w:val="none" w:sz="0" w:space="0" w:color="auto"/>
        <w:right w:val="none" w:sz="0" w:space="0" w:color="auto"/>
      </w:divBdr>
    </w:div>
    <w:div w:id="598174611">
      <w:bodyDiv w:val="1"/>
      <w:marLeft w:val="0"/>
      <w:marRight w:val="0"/>
      <w:marTop w:val="0"/>
      <w:marBottom w:val="0"/>
      <w:divBdr>
        <w:top w:val="none" w:sz="0" w:space="0" w:color="auto"/>
        <w:left w:val="none" w:sz="0" w:space="0" w:color="auto"/>
        <w:bottom w:val="none" w:sz="0" w:space="0" w:color="auto"/>
        <w:right w:val="none" w:sz="0" w:space="0" w:color="auto"/>
      </w:divBdr>
    </w:div>
    <w:div w:id="602107312">
      <w:bodyDiv w:val="1"/>
      <w:marLeft w:val="0"/>
      <w:marRight w:val="0"/>
      <w:marTop w:val="0"/>
      <w:marBottom w:val="0"/>
      <w:divBdr>
        <w:top w:val="none" w:sz="0" w:space="0" w:color="auto"/>
        <w:left w:val="none" w:sz="0" w:space="0" w:color="auto"/>
        <w:bottom w:val="none" w:sz="0" w:space="0" w:color="auto"/>
        <w:right w:val="none" w:sz="0" w:space="0" w:color="auto"/>
      </w:divBdr>
    </w:div>
    <w:div w:id="1135413660">
      <w:bodyDiv w:val="1"/>
      <w:marLeft w:val="0"/>
      <w:marRight w:val="0"/>
      <w:marTop w:val="0"/>
      <w:marBottom w:val="0"/>
      <w:divBdr>
        <w:top w:val="none" w:sz="0" w:space="0" w:color="auto"/>
        <w:left w:val="none" w:sz="0" w:space="0" w:color="auto"/>
        <w:bottom w:val="none" w:sz="0" w:space="0" w:color="auto"/>
        <w:right w:val="none" w:sz="0" w:space="0" w:color="auto"/>
      </w:divBdr>
    </w:div>
    <w:div w:id="1151555258">
      <w:bodyDiv w:val="1"/>
      <w:marLeft w:val="0"/>
      <w:marRight w:val="0"/>
      <w:marTop w:val="0"/>
      <w:marBottom w:val="0"/>
      <w:divBdr>
        <w:top w:val="none" w:sz="0" w:space="0" w:color="auto"/>
        <w:left w:val="none" w:sz="0" w:space="0" w:color="auto"/>
        <w:bottom w:val="none" w:sz="0" w:space="0" w:color="auto"/>
        <w:right w:val="none" w:sz="0" w:space="0" w:color="auto"/>
      </w:divBdr>
    </w:div>
    <w:div w:id="1555123832">
      <w:bodyDiv w:val="1"/>
      <w:marLeft w:val="0"/>
      <w:marRight w:val="0"/>
      <w:marTop w:val="0"/>
      <w:marBottom w:val="0"/>
      <w:divBdr>
        <w:top w:val="none" w:sz="0" w:space="0" w:color="auto"/>
        <w:left w:val="none" w:sz="0" w:space="0" w:color="auto"/>
        <w:bottom w:val="none" w:sz="0" w:space="0" w:color="auto"/>
        <w:right w:val="none" w:sz="0" w:space="0" w:color="auto"/>
      </w:divBdr>
    </w:div>
    <w:div w:id="1603762918">
      <w:bodyDiv w:val="1"/>
      <w:marLeft w:val="0"/>
      <w:marRight w:val="0"/>
      <w:marTop w:val="0"/>
      <w:marBottom w:val="0"/>
      <w:divBdr>
        <w:top w:val="none" w:sz="0" w:space="0" w:color="auto"/>
        <w:left w:val="none" w:sz="0" w:space="0" w:color="auto"/>
        <w:bottom w:val="none" w:sz="0" w:space="0" w:color="auto"/>
        <w:right w:val="none" w:sz="0" w:space="0" w:color="auto"/>
      </w:divBdr>
    </w:div>
    <w:div w:id="1936861048">
      <w:bodyDiv w:val="1"/>
      <w:marLeft w:val="0"/>
      <w:marRight w:val="0"/>
      <w:marTop w:val="0"/>
      <w:marBottom w:val="0"/>
      <w:divBdr>
        <w:top w:val="none" w:sz="0" w:space="0" w:color="auto"/>
        <w:left w:val="none" w:sz="0" w:space="0" w:color="auto"/>
        <w:bottom w:val="none" w:sz="0" w:space="0" w:color="auto"/>
        <w:right w:val="none" w:sz="0" w:space="0" w:color="auto"/>
      </w:divBdr>
    </w:div>
    <w:div w:id="195737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4286</Characters>
  <Application>Microsoft Office Word</Application>
  <DocSecurity>4</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Pelaez</dc:creator>
  <cp:lastModifiedBy>Esteban Pelaez</cp:lastModifiedBy>
  <cp:revision>2</cp:revision>
  <dcterms:created xsi:type="dcterms:W3CDTF">2018-04-27T22:07:00Z</dcterms:created>
  <dcterms:modified xsi:type="dcterms:W3CDTF">2018-04-27T22:07:00Z</dcterms:modified>
</cp:coreProperties>
</file>