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77DB" w14:textId="22CD34B9" w:rsidR="00B26323" w:rsidRPr="00E50F95" w:rsidRDefault="00E50F95" w:rsidP="00C36E9C">
      <w:pPr>
        <w:jc w:val="both"/>
        <w:rPr>
          <w:rFonts w:asciiTheme="majorHAnsi" w:hAnsiTheme="majorHAnsi" w:cstheme="majorHAnsi"/>
          <w:b/>
        </w:rPr>
      </w:pPr>
      <w:r w:rsidRPr="00E50F95">
        <w:rPr>
          <w:rFonts w:asciiTheme="majorHAnsi" w:hAnsiTheme="majorHAnsi" w:cstheme="majorHAnsi"/>
          <w:b/>
        </w:rPr>
        <w:t xml:space="preserve">Título de </w:t>
      </w:r>
      <w:proofErr w:type="spellStart"/>
      <w:r w:rsidRPr="00E50F95">
        <w:rPr>
          <w:rFonts w:asciiTheme="majorHAnsi" w:hAnsiTheme="majorHAnsi" w:cstheme="majorHAnsi"/>
          <w:b/>
        </w:rPr>
        <w:t>dashboard</w:t>
      </w:r>
      <w:proofErr w:type="spellEnd"/>
      <w:r w:rsidRPr="00E50F95">
        <w:rPr>
          <w:rFonts w:asciiTheme="majorHAnsi" w:hAnsiTheme="majorHAnsi" w:cstheme="majorHAnsi"/>
          <w:b/>
        </w:rPr>
        <w:t xml:space="preserve">: </w:t>
      </w:r>
      <w:r w:rsidR="00415ED7">
        <w:rPr>
          <w:rFonts w:asciiTheme="majorHAnsi" w:hAnsiTheme="majorHAnsi" w:cstheme="majorHAnsi"/>
          <w:b/>
        </w:rPr>
        <w:t>“</w:t>
      </w:r>
      <w:r w:rsidR="00AA67DA">
        <w:rPr>
          <w:rFonts w:asciiTheme="majorHAnsi" w:hAnsiTheme="majorHAnsi" w:cstheme="majorHAnsi"/>
          <w:b/>
        </w:rPr>
        <w:t>En qué</w:t>
      </w:r>
      <w:r w:rsidR="00C8083A">
        <w:rPr>
          <w:rFonts w:asciiTheme="majorHAnsi" w:hAnsiTheme="majorHAnsi" w:cstheme="majorHAnsi"/>
          <w:b/>
        </w:rPr>
        <w:t xml:space="preserve"> anda Mi Ciudad – Manizales”</w:t>
      </w:r>
    </w:p>
    <w:p w14:paraId="301B6A9B" w14:textId="246B19B2" w:rsidR="00BB6322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 xml:space="preserve">Los 5 temas prioritarios </w:t>
      </w:r>
      <w:r w:rsidR="00AA67DA">
        <w:rPr>
          <w:rFonts w:asciiTheme="majorHAnsi" w:hAnsiTheme="majorHAnsi" w:cstheme="majorHAnsi"/>
        </w:rPr>
        <w:t xml:space="preserve">para </w:t>
      </w:r>
      <w:r w:rsidRPr="00C36E9C">
        <w:rPr>
          <w:rFonts w:asciiTheme="majorHAnsi" w:hAnsiTheme="majorHAnsi" w:cstheme="majorHAnsi"/>
        </w:rPr>
        <w:t xml:space="preserve">Manizales </w:t>
      </w:r>
      <w:r w:rsidR="00AA67DA">
        <w:rPr>
          <w:rFonts w:asciiTheme="majorHAnsi" w:hAnsiTheme="majorHAnsi" w:cstheme="majorHAnsi"/>
        </w:rPr>
        <w:t>durante los últimos años</w:t>
      </w:r>
      <w:r w:rsidRPr="00C36E9C">
        <w:rPr>
          <w:rFonts w:asciiTheme="majorHAnsi" w:hAnsiTheme="majorHAnsi" w:cstheme="majorHAnsi"/>
        </w:rPr>
        <w:t xml:space="preserve"> </w:t>
      </w:r>
      <w:r w:rsidR="00AA67DA">
        <w:rPr>
          <w:rFonts w:asciiTheme="majorHAnsi" w:hAnsiTheme="majorHAnsi" w:cstheme="majorHAnsi"/>
        </w:rPr>
        <w:t>son</w:t>
      </w:r>
      <w:r w:rsidRPr="00C36E9C">
        <w:rPr>
          <w:rFonts w:asciiTheme="majorHAnsi" w:hAnsiTheme="majorHAnsi" w:cstheme="majorHAnsi"/>
        </w:rPr>
        <w:t xml:space="preserve"> la educación, la seguridad ciudadana,</w:t>
      </w:r>
      <w:r w:rsidR="00AA67DA">
        <w:rPr>
          <w:rFonts w:asciiTheme="majorHAnsi" w:hAnsiTheme="majorHAnsi" w:cstheme="majorHAnsi"/>
        </w:rPr>
        <w:t xml:space="preserve"> el</w:t>
      </w:r>
      <w:r w:rsidRPr="00C36E9C">
        <w:rPr>
          <w:rFonts w:asciiTheme="majorHAnsi" w:hAnsiTheme="majorHAnsi" w:cstheme="majorHAnsi"/>
        </w:rPr>
        <w:t xml:space="preserve"> empleo y entorno macroeconómico y la movilidad. Aunque 2016 representó el quiebre de una tendencia tras casi una década de mejoras significativas, la balanza de la calidad de vida en Manizales logra un equilibrio. </w:t>
      </w:r>
    </w:p>
    <w:p w14:paraId="3BC591D7" w14:textId="2578A638" w:rsidR="00AA67DA" w:rsidRPr="00C36E9C" w:rsidRDefault="00AA67DA" w:rsidP="00C36E9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UN RETO POR LA EDUCACIÓN EN MANIZALES</w:t>
      </w:r>
      <w:bookmarkStart w:id="0" w:name="_GoBack"/>
      <w:bookmarkEnd w:id="0"/>
    </w:p>
    <w:p w14:paraId="7EBD4E26" w14:textId="1210FFE1" w:rsidR="00C36E9C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>En educación, a pesar de los esfuerzos por asegurar el acceso, tan solo el 49,9% de los jóvenes de 15 y 16 años se encontraban cursando décimo o undécimo. Del lado de la calidad, los retos persisten y la mayoría de los niños y jóvenes no alcanzan los niveles esperados en las pruebas Saber. En matemáticas en el grado noveno, tan solo el 35% alcanzó un nivel satisfactorio.</w:t>
      </w:r>
    </w:p>
    <w:tbl>
      <w:tblPr>
        <w:tblStyle w:val="Tablaconcuadrcula"/>
        <w:tblpPr w:leftFromText="141" w:rightFromText="141" w:vertAnchor="page" w:horzAnchor="margin" w:tblpY="5022"/>
        <w:tblW w:w="0" w:type="auto"/>
        <w:tblLook w:val="04A0" w:firstRow="1" w:lastRow="0" w:firstColumn="1" w:lastColumn="0" w:noHBand="0" w:noVBand="1"/>
      </w:tblPr>
      <w:tblGrid>
        <w:gridCol w:w="2980"/>
        <w:gridCol w:w="4588"/>
        <w:gridCol w:w="1260"/>
      </w:tblGrid>
      <w:tr w:rsidR="00415ED7" w:rsidRPr="00C36E9C" w14:paraId="0677757D" w14:textId="77777777" w:rsidTr="00415ED7">
        <w:trPr>
          <w:trHeight w:val="450"/>
        </w:trPr>
        <w:tc>
          <w:tcPr>
            <w:tcW w:w="2980" w:type="dxa"/>
            <w:hideMark/>
          </w:tcPr>
          <w:p w14:paraId="1CBD6609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588" w:type="dxa"/>
            <w:hideMark/>
          </w:tcPr>
          <w:p w14:paraId="290024CA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  <w:tc>
          <w:tcPr>
            <w:tcW w:w="1260" w:type="dxa"/>
            <w:hideMark/>
          </w:tcPr>
          <w:p w14:paraId="059028BC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36E9C">
              <w:rPr>
                <w:rFonts w:asciiTheme="majorHAnsi" w:hAnsiTheme="majorHAnsi" w:cstheme="majorHAnsi"/>
                <w:b/>
                <w:bCs/>
              </w:rPr>
              <w:t>2016</w:t>
            </w:r>
          </w:p>
        </w:tc>
      </w:tr>
      <w:tr w:rsidR="00415ED7" w:rsidRPr="00C36E9C" w14:paraId="1B4AA5E0" w14:textId="77777777" w:rsidTr="00415ED7">
        <w:trPr>
          <w:trHeight w:val="450"/>
        </w:trPr>
        <w:tc>
          <w:tcPr>
            <w:tcW w:w="2980" w:type="dxa"/>
            <w:noWrap/>
            <w:hideMark/>
          </w:tcPr>
          <w:p w14:paraId="2FE2F0F0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4588" w:type="dxa"/>
            <w:hideMark/>
          </w:tcPr>
          <w:p w14:paraId="3041E754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 xml:space="preserve">Tasa de cobertura neta en Media </w:t>
            </w:r>
          </w:p>
        </w:tc>
        <w:tc>
          <w:tcPr>
            <w:tcW w:w="1260" w:type="dxa"/>
            <w:noWrap/>
            <w:hideMark/>
          </w:tcPr>
          <w:p w14:paraId="6B544792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49,87%</w:t>
            </w:r>
          </w:p>
        </w:tc>
      </w:tr>
      <w:tr w:rsidR="00415ED7" w:rsidRPr="00C36E9C" w14:paraId="3D88FD6E" w14:textId="77777777" w:rsidTr="00415ED7">
        <w:trPr>
          <w:trHeight w:val="450"/>
        </w:trPr>
        <w:tc>
          <w:tcPr>
            <w:tcW w:w="2980" w:type="dxa"/>
            <w:noWrap/>
            <w:hideMark/>
          </w:tcPr>
          <w:p w14:paraId="19CA4357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2*</w:t>
            </w:r>
          </w:p>
        </w:tc>
        <w:tc>
          <w:tcPr>
            <w:tcW w:w="4588" w:type="dxa"/>
            <w:hideMark/>
          </w:tcPr>
          <w:p w14:paraId="7F862696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Porcentaje de estudiantes de 9º con un nivel avanzado o satisfactorio en las pruebas estandarizadas nacionales de matemáticas</w:t>
            </w:r>
          </w:p>
        </w:tc>
        <w:tc>
          <w:tcPr>
            <w:tcW w:w="1260" w:type="dxa"/>
            <w:noWrap/>
            <w:hideMark/>
          </w:tcPr>
          <w:p w14:paraId="58833B5B" w14:textId="77777777" w:rsidR="00415ED7" w:rsidRPr="00C36E9C" w:rsidRDefault="00415ED7" w:rsidP="00415ED7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35%</w:t>
            </w:r>
          </w:p>
        </w:tc>
      </w:tr>
    </w:tbl>
    <w:p w14:paraId="4B6F49F7" w14:textId="77777777" w:rsidR="00415ED7" w:rsidRPr="00AA67DA" w:rsidRDefault="00415ED7" w:rsidP="00415ED7">
      <w:pPr>
        <w:jc w:val="both"/>
        <w:rPr>
          <w:rFonts w:asciiTheme="majorHAnsi" w:hAnsiTheme="majorHAnsi" w:cstheme="majorHAnsi"/>
          <w:color w:val="4472C4" w:themeColor="accent1"/>
        </w:rPr>
      </w:pPr>
      <w:r w:rsidRPr="00AA67DA">
        <w:rPr>
          <w:rFonts w:asciiTheme="majorHAnsi" w:hAnsiTheme="majorHAnsi" w:cstheme="majorHAnsi"/>
          <w:color w:val="4472C4" w:themeColor="accent1"/>
        </w:rPr>
        <w:t>Tipo de gráfica: Cruce de variables que refleje la evolución por años y escaleras comparativas por año.</w:t>
      </w:r>
    </w:p>
    <w:p w14:paraId="0C4BA849" w14:textId="689E3531" w:rsidR="00415ED7" w:rsidRPr="004A2BBF" w:rsidRDefault="00415ED7" w:rsidP="00415ED7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EN SEGURIDAD CIUDADANA, </w:t>
      </w:r>
      <w:r>
        <w:rPr>
          <w:rFonts w:asciiTheme="majorHAnsi" w:hAnsiTheme="majorHAnsi" w:cstheme="majorHAnsi"/>
          <w:b/>
          <w:bCs/>
        </w:rPr>
        <w:t>MANIZALES AVANZA</w:t>
      </w:r>
      <w:r w:rsidRPr="004A2BBF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269FFF9E" w14:textId="5F0C0E4C" w:rsidR="00BB6322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 xml:space="preserve">Por su parte, en materia de seguridad el balance es positivo </w:t>
      </w:r>
      <w:r w:rsidR="00AA67DA">
        <w:rPr>
          <w:rFonts w:asciiTheme="majorHAnsi" w:hAnsiTheme="majorHAnsi" w:cstheme="majorHAnsi"/>
        </w:rPr>
        <w:t>durante los últimos 5 años, en 2016 la</w:t>
      </w:r>
      <w:r w:rsidRPr="00C36E9C">
        <w:rPr>
          <w:rFonts w:asciiTheme="majorHAnsi" w:hAnsiTheme="majorHAnsi" w:cstheme="majorHAnsi"/>
        </w:rPr>
        <w:t xml:space="preserve"> tasa de homicidios </w:t>
      </w:r>
      <w:r w:rsidR="00AA67DA">
        <w:rPr>
          <w:rFonts w:asciiTheme="majorHAnsi" w:hAnsiTheme="majorHAnsi" w:cstheme="majorHAnsi"/>
        </w:rPr>
        <w:t>alcanzó</w:t>
      </w:r>
      <w:r w:rsidRPr="00C36E9C">
        <w:rPr>
          <w:rFonts w:asciiTheme="majorHAnsi" w:hAnsiTheme="majorHAnsi" w:cstheme="majorHAnsi"/>
        </w:rPr>
        <w:t xml:space="preserve"> 20,8 </w:t>
      </w:r>
      <w:r w:rsidR="00AA67DA">
        <w:rPr>
          <w:rFonts w:asciiTheme="majorHAnsi" w:hAnsiTheme="majorHAnsi" w:cstheme="majorHAnsi"/>
        </w:rPr>
        <w:t xml:space="preserve">por cada 100,000 habitantes, una </w:t>
      </w:r>
      <w:r w:rsidRPr="00C36E9C">
        <w:rPr>
          <w:rFonts w:asciiTheme="majorHAnsi" w:hAnsiTheme="majorHAnsi" w:cstheme="majorHAnsi"/>
        </w:rPr>
        <w:t xml:space="preserve">reducción </w:t>
      </w:r>
      <w:r w:rsidR="004C6D6F">
        <w:rPr>
          <w:rFonts w:asciiTheme="majorHAnsi" w:hAnsiTheme="majorHAnsi" w:cstheme="majorHAnsi"/>
        </w:rPr>
        <w:t>d</w:t>
      </w:r>
      <w:r w:rsidRPr="00C36E9C">
        <w:rPr>
          <w:rFonts w:asciiTheme="majorHAnsi" w:hAnsiTheme="majorHAnsi" w:cstheme="majorHAnsi"/>
        </w:rPr>
        <w:t xml:space="preserve">el 46% </w:t>
      </w:r>
      <w:r w:rsidR="004C6D6F">
        <w:rPr>
          <w:rFonts w:asciiTheme="majorHAnsi" w:hAnsiTheme="majorHAnsi" w:cstheme="majorHAnsi"/>
        </w:rPr>
        <w:t>durante</w:t>
      </w:r>
      <w:r w:rsidRPr="00C36E9C">
        <w:rPr>
          <w:rFonts w:asciiTheme="majorHAnsi" w:hAnsiTheme="majorHAnsi" w:cstheme="majorHAnsi"/>
        </w:rPr>
        <w:t xml:space="preserve"> la última década. </w:t>
      </w:r>
      <w:r w:rsidR="004C6D6F">
        <w:rPr>
          <w:rFonts w:asciiTheme="majorHAnsi" w:hAnsiTheme="majorHAnsi" w:cstheme="majorHAnsi"/>
        </w:rPr>
        <w:t>Sin embargo</w:t>
      </w:r>
      <w:r w:rsidRPr="00C36E9C">
        <w:rPr>
          <w:rFonts w:asciiTheme="majorHAnsi" w:hAnsiTheme="majorHAnsi" w:cstheme="majorHAnsi"/>
        </w:rPr>
        <w:t xml:space="preserve">, </w:t>
      </w:r>
      <w:r w:rsidR="004C6D6F">
        <w:rPr>
          <w:rFonts w:asciiTheme="majorHAnsi" w:hAnsiTheme="majorHAnsi" w:cstheme="majorHAnsi"/>
        </w:rPr>
        <w:t xml:space="preserve">en materia de seguridad vial, </w:t>
      </w:r>
      <w:r w:rsidRPr="00C36E9C">
        <w:rPr>
          <w:rFonts w:asciiTheme="majorHAnsi" w:hAnsiTheme="majorHAnsi" w:cstheme="majorHAnsi"/>
        </w:rPr>
        <w:t>no se observan avances pues la tasa de mortalidad por siniestros de tránsito se ubicó en 13,08</w:t>
      </w:r>
      <w:r w:rsidR="004C6D6F">
        <w:rPr>
          <w:rFonts w:asciiTheme="majorHAnsi" w:hAnsiTheme="majorHAnsi" w:cstheme="majorHAnsi"/>
        </w:rPr>
        <w:t xml:space="preserve"> en 2016</w:t>
      </w:r>
      <w:r w:rsidRPr="00C36E9C">
        <w:rPr>
          <w:rFonts w:asciiTheme="majorHAnsi" w:hAnsiTheme="majorHAnsi" w:cstheme="majorHAnsi"/>
        </w:rPr>
        <w:t>, similar a la observada en los últimos diez años.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0"/>
        <w:gridCol w:w="4588"/>
        <w:gridCol w:w="1260"/>
      </w:tblGrid>
      <w:tr w:rsidR="00BB6322" w:rsidRPr="00C36E9C" w14:paraId="05B6CF17" w14:textId="77777777" w:rsidTr="00B604AE">
        <w:trPr>
          <w:trHeight w:val="450"/>
        </w:trPr>
        <w:tc>
          <w:tcPr>
            <w:tcW w:w="2980" w:type="dxa"/>
            <w:hideMark/>
          </w:tcPr>
          <w:p w14:paraId="631E2763" w14:textId="0DE410DE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588" w:type="dxa"/>
            <w:hideMark/>
          </w:tcPr>
          <w:p w14:paraId="16D9FCC0" w14:textId="38143D12" w:rsidR="00BB6322" w:rsidRPr="00C36E9C" w:rsidRDefault="007A3547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  <w:tc>
          <w:tcPr>
            <w:tcW w:w="1260" w:type="dxa"/>
            <w:hideMark/>
          </w:tcPr>
          <w:p w14:paraId="43C207EC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36E9C">
              <w:rPr>
                <w:rFonts w:asciiTheme="majorHAnsi" w:hAnsiTheme="majorHAnsi" w:cstheme="majorHAnsi"/>
                <w:b/>
                <w:bCs/>
              </w:rPr>
              <w:t>2016</w:t>
            </w:r>
          </w:p>
        </w:tc>
      </w:tr>
      <w:tr w:rsidR="00BB6322" w:rsidRPr="00C36E9C" w14:paraId="099ECC56" w14:textId="77777777" w:rsidTr="00B604AE">
        <w:trPr>
          <w:trHeight w:val="450"/>
        </w:trPr>
        <w:tc>
          <w:tcPr>
            <w:tcW w:w="2980" w:type="dxa"/>
            <w:noWrap/>
            <w:hideMark/>
          </w:tcPr>
          <w:p w14:paraId="51335D7A" w14:textId="1357A468" w:rsidR="00BB6322" w:rsidRPr="00C36E9C" w:rsidRDefault="008F401C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</w:t>
            </w:r>
            <w:r w:rsidR="00BB6322" w:rsidRPr="00C36E9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88" w:type="dxa"/>
            <w:hideMark/>
          </w:tcPr>
          <w:p w14:paraId="3A95ED08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Homicidios por cada 100 mil habitantes</w:t>
            </w:r>
          </w:p>
        </w:tc>
        <w:tc>
          <w:tcPr>
            <w:tcW w:w="1260" w:type="dxa"/>
            <w:noWrap/>
            <w:hideMark/>
          </w:tcPr>
          <w:p w14:paraId="24B33256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20,88</w:t>
            </w:r>
          </w:p>
        </w:tc>
      </w:tr>
      <w:tr w:rsidR="00BB6322" w:rsidRPr="00C36E9C" w14:paraId="10DC131D" w14:textId="77777777" w:rsidTr="00B604AE">
        <w:trPr>
          <w:trHeight w:val="450"/>
        </w:trPr>
        <w:tc>
          <w:tcPr>
            <w:tcW w:w="2980" w:type="dxa"/>
            <w:noWrap/>
            <w:hideMark/>
          </w:tcPr>
          <w:p w14:paraId="2C11B079" w14:textId="67B7F767" w:rsidR="00BB6322" w:rsidRPr="00C36E9C" w:rsidRDefault="008F401C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</w:t>
            </w:r>
            <w:r w:rsidR="00BB6322" w:rsidRPr="00C36E9C">
              <w:rPr>
                <w:rFonts w:asciiTheme="majorHAnsi" w:hAnsiTheme="majorHAnsi" w:cstheme="majorHAnsi"/>
              </w:rPr>
              <w:t>2*</w:t>
            </w:r>
          </w:p>
        </w:tc>
        <w:tc>
          <w:tcPr>
            <w:tcW w:w="4588" w:type="dxa"/>
            <w:hideMark/>
          </w:tcPr>
          <w:p w14:paraId="3DABD265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mortalidad por accidentes de tránsito</w:t>
            </w:r>
          </w:p>
        </w:tc>
        <w:tc>
          <w:tcPr>
            <w:tcW w:w="1260" w:type="dxa"/>
            <w:noWrap/>
            <w:hideMark/>
          </w:tcPr>
          <w:p w14:paraId="03B34EA0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13,08</w:t>
            </w:r>
          </w:p>
        </w:tc>
      </w:tr>
    </w:tbl>
    <w:p w14:paraId="3C39FA47" w14:textId="76568871" w:rsidR="00B604AE" w:rsidRPr="00C536A1" w:rsidRDefault="00B604AE" w:rsidP="00B604AE">
      <w:pPr>
        <w:jc w:val="both"/>
        <w:rPr>
          <w:rFonts w:asciiTheme="majorHAnsi" w:hAnsiTheme="majorHAnsi" w:cstheme="majorHAnsi"/>
          <w:color w:val="4472C4" w:themeColor="accent1"/>
        </w:rPr>
      </w:pPr>
      <w:r w:rsidRPr="00C536A1">
        <w:rPr>
          <w:rFonts w:asciiTheme="majorHAnsi" w:hAnsiTheme="majorHAnsi" w:cstheme="majorHAnsi"/>
          <w:color w:val="4472C4" w:themeColor="accent1"/>
        </w:rPr>
        <w:t xml:space="preserve">Tipo de gráfica: </w:t>
      </w:r>
      <w:r>
        <w:rPr>
          <w:rFonts w:asciiTheme="majorHAnsi" w:hAnsiTheme="majorHAnsi" w:cstheme="majorHAnsi"/>
          <w:color w:val="4472C4" w:themeColor="accent1"/>
        </w:rPr>
        <w:t xml:space="preserve">Tablas de líneas separadas </w:t>
      </w:r>
      <w:r>
        <w:rPr>
          <w:rFonts w:asciiTheme="majorHAnsi" w:hAnsiTheme="majorHAnsi" w:cstheme="majorHAnsi"/>
          <w:color w:val="4472C4" w:themeColor="accent1"/>
        </w:rPr>
        <w:t>para la</w:t>
      </w:r>
      <w:r>
        <w:rPr>
          <w:rFonts w:asciiTheme="majorHAnsi" w:hAnsiTheme="majorHAnsi" w:cstheme="majorHAnsi"/>
          <w:color w:val="4472C4" w:themeColor="accent1"/>
        </w:rPr>
        <w:t>s 2</w:t>
      </w:r>
      <w:r>
        <w:rPr>
          <w:rFonts w:asciiTheme="majorHAnsi" w:hAnsiTheme="majorHAnsi" w:cstheme="majorHAnsi"/>
          <w:color w:val="4472C4" w:themeColor="accent1"/>
        </w:rPr>
        <w:t xml:space="preserve"> variable</w:t>
      </w:r>
      <w:r>
        <w:rPr>
          <w:rFonts w:asciiTheme="majorHAnsi" w:hAnsiTheme="majorHAnsi" w:cstheme="majorHAnsi"/>
          <w:color w:val="4472C4" w:themeColor="accent1"/>
        </w:rPr>
        <w:t>s</w:t>
      </w:r>
      <w:r>
        <w:rPr>
          <w:rFonts w:asciiTheme="majorHAnsi" w:hAnsiTheme="majorHAnsi" w:cstheme="majorHAnsi"/>
          <w:color w:val="4472C4" w:themeColor="accent1"/>
        </w:rPr>
        <w:t xml:space="preserve"> (trazabilidad por años) </w:t>
      </w:r>
      <w:r>
        <w:rPr>
          <w:rFonts w:asciiTheme="majorHAnsi" w:hAnsiTheme="majorHAnsi" w:cstheme="majorHAnsi"/>
          <w:color w:val="4472C4" w:themeColor="accent1"/>
        </w:rPr>
        <w:t>mostrando la tendencia en los años disponibles</w:t>
      </w:r>
    </w:p>
    <w:p w14:paraId="76BCD292" w14:textId="77777777" w:rsidR="004C6D6F" w:rsidRDefault="004C6D6F" w:rsidP="004C6D6F">
      <w:pPr>
        <w:jc w:val="both"/>
        <w:rPr>
          <w:rFonts w:asciiTheme="majorHAnsi" w:hAnsiTheme="majorHAnsi" w:cstheme="majorHAnsi"/>
          <w:b/>
          <w:bCs/>
        </w:rPr>
      </w:pPr>
    </w:p>
    <w:p w14:paraId="680CFB19" w14:textId="0CABF152" w:rsidR="004C6D6F" w:rsidRDefault="004C6D6F" w:rsidP="004C6D6F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ASÍ VA </w:t>
      </w:r>
      <w:r w:rsidR="00415ED7">
        <w:rPr>
          <w:rFonts w:asciiTheme="majorHAnsi" w:hAnsiTheme="majorHAnsi" w:cstheme="majorHAnsi"/>
          <w:b/>
          <w:bCs/>
        </w:rPr>
        <w:t xml:space="preserve">LA </w:t>
      </w:r>
      <w:r w:rsidR="00415ED7">
        <w:rPr>
          <w:rFonts w:asciiTheme="majorHAnsi" w:hAnsiTheme="majorHAnsi" w:cstheme="majorHAnsi"/>
          <w:b/>
          <w:bCs/>
        </w:rPr>
        <w:t xml:space="preserve">PROYECCIÓN </w:t>
      </w:r>
      <w:r w:rsidR="00415ED7">
        <w:rPr>
          <w:rFonts w:asciiTheme="majorHAnsi" w:hAnsiTheme="majorHAnsi" w:cstheme="majorHAnsi"/>
          <w:b/>
          <w:bCs/>
        </w:rPr>
        <w:t>DE LA CIUDAD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EN</w:t>
      </w:r>
      <w:r>
        <w:rPr>
          <w:rFonts w:asciiTheme="majorHAnsi" w:hAnsiTheme="majorHAnsi" w:cstheme="majorHAnsi"/>
          <w:b/>
          <w:bCs/>
        </w:rPr>
        <w:t xml:space="preserve"> TEMAS DE EMPLEO</w:t>
      </w:r>
    </w:p>
    <w:p w14:paraId="75B45ACE" w14:textId="146B2A47" w:rsidR="00BB6322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>Frente al empleo se evidencian retos importantes</w:t>
      </w:r>
      <w:r w:rsidR="004C6D6F">
        <w:rPr>
          <w:rFonts w:asciiTheme="majorHAnsi" w:hAnsiTheme="majorHAnsi" w:cstheme="majorHAnsi"/>
        </w:rPr>
        <w:t xml:space="preserve"> para Manizales</w:t>
      </w:r>
      <w:r w:rsidRPr="00C36E9C">
        <w:rPr>
          <w:rFonts w:asciiTheme="majorHAnsi" w:hAnsiTheme="majorHAnsi" w:cstheme="majorHAnsi"/>
        </w:rPr>
        <w:t xml:space="preserve">, ya que se aumentó </w:t>
      </w:r>
      <w:r w:rsidR="004C6D6F">
        <w:rPr>
          <w:rFonts w:asciiTheme="majorHAnsi" w:hAnsiTheme="majorHAnsi" w:cstheme="majorHAnsi"/>
        </w:rPr>
        <w:t>la cifra</w:t>
      </w:r>
      <w:r w:rsidRPr="00C36E9C">
        <w:rPr>
          <w:rFonts w:asciiTheme="majorHAnsi" w:hAnsiTheme="majorHAnsi" w:cstheme="majorHAnsi"/>
        </w:rPr>
        <w:t xml:space="preserve"> de un 9,6% en 2015 a 10,3% en 2016. Del lado de la calidad del empleo, la informalidad si continuó descendiendo y </w:t>
      </w:r>
      <w:r w:rsidR="004C6D6F">
        <w:rPr>
          <w:rFonts w:asciiTheme="majorHAnsi" w:hAnsiTheme="majorHAnsi" w:cstheme="majorHAnsi"/>
        </w:rPr>
        <w:t>en 2016 (</w:t>
      </w:r>
      <w:r w:rsidRPr="00C36E9C">
        <w:rPr>
          <w:rFonts w:asciiTheme="majorHAnsi" w:hAnsiTheme="majorHAnsi" w:cstheme="majorHAnsi"/>
        </w:rPr>
        <w:t>41,7%</w:t>
      </w:r>
      <w:r w:rsidR="004C6D6F">
        <w:rPr>
          <w:rFonts w:asciiTheme="majorHAnsi" w:hAnsiTheme="majorHAnsi" w:cstheme="majorHAnsi"/>
        </w:rPr>
        <w:t>)</w:t>
      </w:r>
      <w:r w:rsidRPr="00C36E9C">
        <w:rPr>
          <w:rFonts w:asciiTheme="majorHAnsi" w:hAnsiTheme="majorHAnsi" w:cstheme="majorHAnsi"/>
        </w:rPr>
        <w:t xml:space="preserve"> es la menor de las ciudades colombianas.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0"/>
        <w:gridCol w:w="4588"/>
        <w:gridCol w:w="1260"/>
      </w:tblGrid>
      <w:tr w:rsidR="00BB6322" w:rsidRPr="00C36E9C" w14:paraId="33613251" w14:textId="77777777" w:rsidTr="00BB6322">
        <w:trPr>
          <w:trHeight w:val="450"/>
        </w:trPr>
        <w:tc>
          <w:tcPr>
            <w:tcW w:w="2980" w:type="dxa"/>
            <w:hideMark/>
          </w:tcPr>
          <w:p w14:paraId="230C7C36" w14:textId="4311C3DE" w:rsidR="003F478E" w:rsidRPr="00C36E9C" w:rsidRDefault="003F478E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4588" w:type="dxa"/>
            <w:hideMark/>
          </w:tcPr>
          <w:p w14:paraId="3105E255" w14:textId="617E3490" w:rsidR="00BB6322" w:rsidRPr="00C36E9C" w:rsidRDefault="007A3547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  <w:tc>
          <w:tcPr>
            <w:tcW w:w="1260" w:type="dxa"/>
            <w:hideMark/>
          </w:tcPr>
          <w:p w14:paraId="49C8B1FE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36E9C">
              <w:rPr>
                <w:rFonts w:asciiTheme="majorHAnsi" w:hAnsiTheme="majorHAnsi" w:cstheme="majorHAnsi"/>
                <w:b/>
                <w:bCs/>
              </w:rPr>
              <w:t>2016</w:t>
            </w:r>
          </w:p>
        </w:tc>
      </w:tr>
      <w:tr w:rsidR="00BB6322" w:rsidRPr="00C36E9C" w14:paraId="31C920C2" w14:textId="77777777" w:rsidTr="00BB6322">
        <w:trPr>
          <w:trHeight w:val="450"/>
        </w:trPr>
        <w:tc>
          <w:tcPr>
            <w:tcW w:w="2980" w:type="dxa"/>
            <w:noWrap/>
            <w:hideMark/>
          </w:tcPr>
          <w:p w14:paraId="32D42D7C" w14:textId="3696A93F" w:rsidR="00BB6322" w:rsidRPr="00C36E9C" w:rsidRDefault="008F401C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</w:t>
            </w:r>
            <w:r w:rsidR="00BB6322" w:rsidRPr="00C36E9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88" w:type="dxa"/>
            <w:hideMark/>
          </w:tcPr>
          <w:p w14:paraId="10E1C2A5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desempleo</w:t>
            </w:r>
          </w:p>
        </w:tc>
        <w:tc>
          <w:tcPr>
            <w:tcW w:w="1260" w:type="dxa"/>
            <w:noWrap/>
            <w:hideMark/>
          </w:tcPr>
          <w:p w14:paraId="3FF4EA31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10,3%</w:t>
            </w:r>
          </w:p>
        </w:tc>
      </w:tr>
      <w:tr w:rsidR="00BB6322" w:rsidRPr="00C36E9C" w14:paraId="598A729A" w14:textId="77777777" w:rsidTr="00BB6322">
        <w:trPr>
          <w:trHeight w:val="450"/>
        </w:trPr>
        <w:tc>
          <w:tcPr>
            <w:tcW w:w="2980" w:type="dxa"/>
            <w:noWrap/>
            <w:hideMark/>
          </w:tcPr>
          <w:p w14:paraId="0BFA8CD8" w14:textId="6C61E5DD" w:rsidR="00BB6322" w:rsidRPr="00C36E9C" w:rsidRDefault="008F401C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</w:t>
            </w:r>
            <w:r w:rsidR="00BB6322" w:rsidRPr="00C36E9C">
              <w:rPr>
                <w:rFonts w:asciiTheme="majorHAnsi" w:hAnsiTheme="majorHAnsi" w:cstheme="majorHAnsi"/>
              </w:rPr>
              <w:t>2*</w:t>
            </w:r>
          </w:p>
        </w:tc>
        <w:tc>
          <w:tcPr>
            <w:tcW w:w="4588" w:type="dxa"/>
            <w:hideMark/>
          </w:tcPr>
          <w:p w14:paraId="25F9F032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informalidad</w:t>
            </w:r>
          </w:p>
        </w:tc>
        <w:tc>
          <w:tcPr>
            <w:tcW w:w="1260" w:type="dxa"/>
            <w:noWrap/>
            <w:hideMark/>
          </w:tcPr>
          <w:p w14:paraId="00806AB6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41,7%</w:t>
            </w:r>
          </w:p>
        </w:tc>
      </w:tr>
    </w:tbl>
    <w:p w14:paraId="11F9169B" w14:textId="25D47ABC" w:rsidR="00B604AE" w:rsidRPr="00C536A1" w:rsidRDefault="00B604AE" w:rsidP="00B604AE">
      <w:pPr>
        <w:jc w:val="both"/>
        <w:rPr>
          <w:rFonts w:asciiTheme="majorHAnsi" w:hAnsiTheme="majorHAnsi" w:cstheme="majorHAnsi"/>
          <w:color w:val="4472C4" w:themeColor="accent1"/>
        </w:rPr>
      </w:pPr>
      <w:r w:rsidRPr="00C536A1">
        <w:rPr>
          <w:rFonts w:asciiTheme="majorHAnsi" w:hAnsiTheme="majorHAnsi" w:cstheme="majorHAnsi"/>
          <w:color w:val="4472C4" w:themeColor="accent1"/>
        </w:rPr>
        <w:t>Tipo de gráfica: Cruce de variables en una gráfica de líneas que refleje la evolución comparativamente por años</w:t>
      </w:r>
      <w:r>
        <w:rPr>
          <w:rFonts w:asciiTheme="majorHAnsi" w:hAnsiTheme="majorHAnsi" w:cstheme="majorHAnsi"/>
          <w:color w:val="4472C4" w:themeColor="accent1"/>
        </w:rPr>
        <w:t xml:space="preserve"> en cada indicador</w:t>
      </w:r>
      <w:r>
        <w:rPr>
          <w:rFonts w:asciiTheme="majorHAnsi" w:hAnsiTheme="majorHAnsi" w:cstheme="majorHAnsi"/>
          <w:color w:val="4472C4" w:themeColor="accent1"/>
        </w:rPr>
        <w:t xml:space="preserve"> (combinados los dos en 1 gráfica)</w:t>
      </w:r>
    </w:p>
    <w:p w14:paraId="3AAA9973" w14:textId="556F94B0" w:rsidR="00BB6322" w:rsidRDefault="00BB6322" w:rsidP="00C36E9C">
      <w:pPr>
        <w:jc w:val="both"/>
        <w:rPr>
          <w:rFonts w:asciiTheme="majorHAnsi" w:hAnsiTheme="majorHAnsi" w:cstheme="majorHAnsi"/>
        </w:rPr>
      </w:pPr>
    </w:p>
    <w:p w14:paraId="34A80725" w14:textId="738755BD" w:rsidR="00C536A1" w:rsidRPr="00C536A1" w:rsidRDefault="00415ED7" w:rsidP="00C36E9C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EN</w:t>
      </w:r>
      <w:r w:rsidR="00C536A1">
        <w:rPr>
          <w:rFonts w:asciiTheme="majorHAnsi" w:hAnsiTheme="majorHAnsi" w:cstheme="majorHAnsi"/>
          <w:b/>
          <w:bCs/>
        </w:rPr>
        <w:t xml:space="preserve"> MOVILIDAD</w:t>
      </w:r>
      <w:r>
        <w:rPr>
          <w:rFonts w:asciiTheme="majorHAnsi" w:hAnsiTheme="majorHAnsi" w:cstheme="majorHAnsi"/>
          <w:b/>
          <w:bCs/>
        </w:rPr>
        <w:t>, LA TENDENCIA ES AL AUMENTO EN EL USO DE VEHÍCULOS</w:t>
      </w:r>
    </w:p>
    <w:p w14:paraId="3DCDB2C9" w14:textId="4FA8B1AE" w:rsidR="000209A4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>Por último, respecto a la movilidad, aunque los medios de transporte de la ciudad son bien</w:t>
      </w:r>
      <w:r w:rsidR="00C536A1">
        <w:rPr>
          <w:rFonts w:asciiTheme="majorHAnsi" w:hAnsiTheme="majorHAnsi" w:cstheme="majorHAnsi"/>
        </w:rPr>
        <w:t xml:space="preserve"> calificados como lo muestra la </w:t>
      </w:r>
      <w:r w:rsidRPr="00C36E9C">
        <w:rPr>
          <w:rFonts w:asciiTheme="majorHAnsi" w:hAnsiTheme="majorHAnsi" w:cstheme="majorHAnsi"/>
        </w:rPr>
        <w:t>alta satisfacción de los ciudadanos (80%), la motorización continua en aumento y para 2016 la ciudad contaba con 18,8 automóviles por cada 100 habitantes, 147% más que en 2009.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0"/>
        <w:gridCol w:w="4588"/>
        <w:gridCol w:w="1260"/>
      </w:tblGrid>
      <w:tr w:rsidR="00BB6322" w:rsidRPr="00C36E9C" w14:paraId="1A1DDEEA" w14:textId="77777777" w:rsidTr="00C536A1">
        <w:trPr>
          <w:trHeight w:val="450"/>
        </w:trPr>
        <w:tc>
          <w:tcPr>
            <w:tcW w:w="2980" w:type="dxa"/>
          </w:tcPr>
          <w:p w14:paraId="175092FA" w14:textId="53D9611E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6680" w:type="dxa"/>
            <w:hideMark/>
          </w:tcPr>
          <w:p w14:paraId="09233F04" w14:textId="004FC8CB" w:rsidR="00BB6322" w:rsidRPr="00C36E9C" w:rsidRDefault="007A3547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  <w:tc>
          <w:tcPr>
            <w:tcW w:w="1260" w:type="dxa"/>
            <w:hideMark/>
          </w:tcPr>
          <w:p w14:paraId="283526CA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C36E9C">
              <w:rPr>
                <w:rFonts w:asciiTheme="majorHAnsi" w:hAnsiTheme="majorHAnsi" w:cstheme="majorHAnsi"/>
                <w:b/>
                <w:bCs/>
              </w:rPr>
              <w:t>2016</w:t>
            </w:r>
          </w:p>
        </w:tc>
      </w:tr>
      <w:tr w:rsidR="00BB6322" w:rsidRPr="00C36E9C" w14:paraId="26D439C2" w14:textId="77777777" w:rsidTr="00BB6322">
        <w:trPr>
          <w:trHeight w:val="450"/>
        </w:trPr>
        <w:tc>
          <w:tcPr>
            <w:tcW w:w="2980" w:type="dxa"/>
            <w:noWrap/>
            <w:hideMark/>
          </w:tcPr>
          <w:p w14:paraId="06FD6E15" w14:textId="0CC98598" w:rsidR="00BB6322" w:rsidRPr="00C36E9C" w:rsidRDefault="008F401C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</w:t>
            </w:r>
            <w:r w:rsidR="00BB6322" w:rsidRPr="00C36E9C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6680" w:type="dxa"/>
            <w:hideMark/>
          </w:tcPr>
          <w:p w14:paraId="4374E283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No. de automóviles por cada 100 hab.</w:t>
            </w:r>
          </w:p>
        </w:tc>
        <w:tc>
          <w:tcPr>
            <w:tcW w:w="1260" w:type="dxa"/>
            <w:noWrap/>
            <w:hideMark/>
          </w:tcPr>
          <w:p w14:paraId="76228EFB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18,8</w:t>
            </w:r>
          </w:p>
        </w:tc>
      </w:tr>
      <w:tr w:rsidR="00BB6322" w:rsidRPr="00C36E9C" w14:paraId="4D8699E3" w14:textId="77777777" w:rsidTr="00BB6322">
        <w:trPr>
          <w:trHeight w:val="450"/>
        </w:trPr>
        <w:tc>
          <w:tcPr>
            <w:tcW w:w="2980" w:type="dxa"/>
            <w:noWrap/>
            <w:hideMark/>
          </w:tcPr>
          <w:p w14:paraId="36B883A5" w14:textId="45BCC969" w:rsidR="00BB6322" w:rsidRPr="00C36E9C" w:rsidRDefault="008F401C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</w:t>
            </w:r>
            <w:r w:rsidR="00BB6322" w:rsidRPr="00C36E9C">
              <w:rPr>
                <w:rFonts w:asciiTheme="majorHAnsi" w:hAnsiTheme="majorHAnsi" w:cstheme="majorHAnsi"/>
              </w:rPr>
              <w:t>2*</w:t>
            </w:r>
          </w:p>
        </w:tc>
        <w:tc>
          <w:tcPr>
            <w:tcW w:w="6680" w:type="dxa"/>
            <w:hideMark/>
          </w:tcPr>
          <w:p w14:paraId="5F9F254F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Porcentaje de personas que se sienten satisfechas o muy satisfechas con el medio de transporte que utilizan habitualmente</w:t>
            </w:r>
          </w:p>
        </w:tc>
        <w:tc>
          <w:tcPr>
            <w:tcW w:w="1260" w:type="dxa"/>
            <w:noWrap/>
            <w:hideMark/>
          </w:tcPr>
          <w:p w14:paraId="776735C4" w14:textId="77777777" w:rsidR="00BB6322" w:rsidRPr="00C36E9C" w:rsidRDefault="00BB632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80,0%</w:t>
            </w:r>
          </w:p>
        </w:tc>
      </w:tr>
    </w:tbl>
    <w:p w14:paraId="5DD609A6" w14:textId="62F4C332" w:rsidR="00B604AE" w:rsidRPr="00C536A1" w:rsidRDefault="00B604AE" w:rsidP="00B604AE">
      <w:pPr>
        <w:jc w:val="both"/>
        <w:rPr>
          <w:rFonts w:asciiTheme="majorHAnsi" w:hAnsiTheme="majorHAnsi" w:cstheme="majorHAnsi"/>
          <w:color w:val="4472C4" w:themeColor="accent1"/>
        </w:rPr>
      </w:pPr>
      <w:r w:rsidRPr="00C536A1">
        <w:rPr>
          <w:rFonts w:asciiTheme="majorHAnsi" w:hAnsiTheme="majorHAnsi" w:cstheme="majorHAnsi"/>
          <w:color w:val="4472C4" w:themeColor="accent1"/>
        </w:rPr>
        <w:t xml:space="preserve">Tipo de gráfica: </w:t>
      </w:r>
      <w:r>
        <w:rPr>
          <w:rFonts w:asciiTheme="majorHAnsi" w:hAnsiTheme="majorHAnsi" w:cstheme="majorHAnsi"/>
          <w:color w:val="4472C4" w:themeColor="accent1"/>
        </w:rPr>
        <w:t>Tabla de barras para la variable 1 (trazabilidad por años) y gráfica de línea mostrando la tendencia del indicador de percepción en los años disponibles</w:t>
      </w:r>
    </w:p>
    <w:p w14:paraId="040C3FB7" w14:textId="5D8BF8D6" w:rsidR="00C36E9C" w:rsidRPr="00C36E9C" w:rsidRDefault="00C36E9C" w:rsidP="00C36E9C">
      <w:pPr>
        <w:jc w:val="both"/>
        <w:rPr>
          <w:rFonts w:asciiTheme="majorHAnsi" w:hAnsiTheme="majorHAnsi" w:cstheme="majorHAnsi"/>
        </w:rPr>
      </w:pPr>
    </w:p>
    <w:sectPr w:rsidR="00C36E9C" w:rsidRPr="00C36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2"/>
    <w:rsid w:val="0004648B"/>
    <w:rsid w:val="0031237C"/>
    <w:rsid w:val="003F478E"/>
    <w:rsid w:val="00415ED7"/>
    <w:rsid w:val="0044058A"/>
    <w:rsid w:val="004C6D6F"/>
    <w:rsid w:val="004E5C27"/>
    <w:rsid w:val="007A3547"/>
    <w:rsid w:val="008B05C7"/>
    <w:rsid w:val="008F401C"/>
    <w:rsid w:val="00A02ACF"/>
    <w:rsid w:val="00AA67DA"/>
    <w:rsid w:val="00B26323"/>
    <w:rsid w:val="00B604AE"/>
    <w:rsid w:val="00BB6322"/>
    <w:rsid w:val="00C36E9C"/>
    <w:rsid w:val="00C536A1"/>
    <w:rsid w:val="00C8083A"/>
    <w:rsid w:val="00E225C8"/>
    <w:rsid w:val="00E50F95"/>
    <w:rsid w:val="00F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715E"/>
  <w15:chartTrackingRefBased/>
  <w15:docId w15:val="{0068BD53-FC87-4369-940E-D3DF99E2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Pelaez</dc:creator>
  <cp:keywords/>
  <dc:description/>
  <cp:lastModifiedBy>Esteban Pelaez</cp:lastModifiedBy>
  <cp:revision>5</cp:revision>
  <dcterms:created xsi:type="dcterms:W3CDTF">2018-03-23T16:00:00Z</dcterms:created>
  <dcterms:modified xsi:type="dcterms:W3CDTF">2018-03-23T17:02:00Z</dcterms:modified>
</cp:coreProperties>
</file>