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C8E" w:rsidRDefault="00C46C8E" w:rsidP="00C46C8E">
      <w:pPr>
        <w:pStyle w:val="Ttulo1"/>
      </w:pPr>
      <w:r>
        <w:t>EDUCACIÓN</w:t>
      </w:r>
    </w:p>
    <w:p w:rsidR="00C46C8E" w:rsidRDefault="00C46C8E" w:rsidP="00AA2F3A">
      <w:pPr>
        <w:pStyle w:val="Ttulo2"/>
        <w:rPr>
          <w:rFonts w:asciiTheme="minorHAnsi" w:hAnsiTheme="minorHAnsi" w:cstheme="minorHAnsi"/>
          <w:sz w:val="24"/>
          <w:szCs w:val="24"/>
        </w:rPr>
      </w:pPr>
    </w:p>
    <w:p w:rsidR="00E211B6" w:rsidRPr="00E211B6" w:rsidRDefault="00E211B6" w:rsidP="00E211B6">
      <w:pPr>
        <w:rPr>
          <w:b/>
          <w:i/>
        </w:rPr>
      </w:pPr>
      <w:r w:rsidRPr="00E211B6">
        <w:rPr>
          <w:b/>
          <w:i/>
        </w:rPr>
        <w:t xml:space="preserve">El mayor rezago en cobertura educativa </w:t>
      </w:r>
      <w:bookmarkStart w:id="0" w:name="_GoBack"/>
      <w:bookmarkEnd w:id="0"/>
      <w:r w:rsidR="00CD6A32">
        <w:rPr>
          <w:b/>
          <w:i/>
        </w:rPr>
        <w:t xml:space="preserve">en Medellín está </w:t>
      </w:r>
      <w:r w:rsidRPr="00E211B6">
        <w:rPr>
          <w:b/>
          <w:i/>
        </w:rPr>
        <w:t>en el nivel de media</w:t>
      </w:r>
    </w:p>
    <w:p w:rsidR="002A44D1" w:rsidRPr="00C46C8E" w:rsidRDefault="00A973D8" w:rsidP="00AA2F3A">
      <w:pPr>
        <w:pStyle w:val="Ttulo2"/>
        <w:rPr>
          <w:rFonts w:asciiTheme="minorHAnsi" w:hAnsiTheme="minorHAnsi" w:cstheme="minorHAnsi"/>
          <w:sz w:val="24"/>
          <w:szCs w:val="24"/>
        </w:rPr>
      </w:pPr>
      <w:r w:rsidRPr="00C46C8E">
        <w:rPr>
          <w:rFonts w:asciiTheme="minorHAnsi" w:hAnsiTheme="minorHAnsi" w:cstheme="minorHAnsi"/>
          <w:sz w:val="24"/>
          <w:szCs w:val="24"/>
        </w:rPr>
        <w:t>Tasa de cobertura neta en media vocacional</w:t>
      </w:r>
    </w:p>
    <w:p w:rsidR="00A973D8" w:rsidRPr="00C46C8E" w:rsidRDefault="00A973D8">
      <w:pPr>
        <w:rPr>
          <w:rFonts w:cstheme="minorHAnsi"/>
          <w:sz w:val="24"/>
          <w:szCs w:val="24"/>
        </w:rPr>
      </w:pPr>
    </w:p>
    <w:p w:rsidR="00A973D8" w:rsidRPr="00C46C8E" w:rsidRDefault="00A973D8" w:rsidP="00A973D8">
      <w:pPr>
        <w:autoSpaceDE w:val="0"/>
        <w:autoSpaceDN w:val="0"/>
        <w:adjustRightInd w:val="0"/>
        <w:spacing w:after="0" w:line="240" w:lineRule="auto"/>
        <w:jc w:val="both"/>
        <w:rPr>
          <w:rFonts w:cstheme="minorHAnsi"/>
          <w:color w:val="0F0F0F"/>
          <w:sz w:val="24"/>
          <w:szCs w:val="24"/>
        </w:rPr>
      </w:pPr>
      <w:r w:rsidRPr="00C46C8E">
        <w:rPr>
          <w:rFonts w:cstheme="minorHAnsi"/>
          <w:color w:val="0F0F0F"/>
          <w:sz w:val="24"/>
          <w:szCs w:val="24"/>
        </w:rPr>
        <w:t xml:space="preserve">La educación media fue el único nivel – entre transición hasta la media- que mostró un aumento en el periodo 2008-2016, aunque este solo alcanzo 2,7 puntos porcentuales, ubicándose por debajo del 60 %. Esto significó que a 2016, de 100 adolescentes entre los 15 y 16 años, sólo 57 estaban en los grados correspondientes a la media, esto es el décimo grado y el undécimo grado. </w:t>
      </w:r>
    </w:p>
    <w:p w:rsidR="00AA2F3A" w:rsidRPr="00C46C8E" w:rsidRDefault="00AA2F3A" w:rsidP="00AA2F3A">
      <w:pPr>
        <w:autoSpaceDE w:val="0"/>
        <w:autoSpaceDN w:val="0"/>
        <w:adjustRightInd w:val="0"/>
        <w:spacing w:after="0" w:line="240" w:lineRule="auto"/>
        <w:jc w:val="both"/>
        <w:rPr>
          <w:rFonts w:cstheme="minorHAnsi"/>
          <w:color w:val="0F0F0F"/>
          <w:sz w:val="24"/>
          <w:szCs w:val="24"/>
        </w:rPr>
      </w:pPr>
      <w:r w:rsidRPr="00C46C8E">
        <w:rPr>
          <w:rFonts w:cstheme="minorHAnsi"/>
          <w:color w:val="0F0F0F"/>
          <w:sz w:val="24"/>
          <w:szCs w:val="24"/>
        </w:rPr>
        <w:t>Tomando como base las proyecciones de población del DANE, a 2016 se tendría que aproximadamente 1.989 jóvenes de 15 años en Medellín estaban por fuera del sistema educativo, mientras 6.997 jóvenes de 16 años estarían en esa misma situación, para un total de 8.986 jóvenes de 15 y 16 años por fuera del sistema educativo en Medellín, aproximadamente 6.550 menos en relación con el año 2008. Esto sumado a los datos arrojados por las tasas de cobertura en media muestra que el gran reto en materia de acceso reside en idear políticas y programas que permitan atraer y retener a estos jóvenes al sistema educativo, de forma tal que puedan culminar por lo menos la educación media.</w:t>
      </w:r>
    </w:p>
    <w:p w:rsidR="00AA2F3A" w:rsidRDefault="00AA2F3A" w:rsidP="00AA2F3A">
      <w:pPr>
        <w:autoSpaceDE w:val="0"/>
        <w:autoSpaceDN w:val="0"/>
        <w:adjustRightInd w:val="0"/>
        <w:spacing w:after="0" w:line="240" w:lineRule="auto"/>
        <w:jc w:val="both"/>
        <w:rPr>
          <w:rFonts w:cstheme="minorHAnsi"/>
          <w:color w:val="222222"/>
          <w:sz w:val="24"/>
          <w:szCs w:val="24"/>
          <w:shd w:val="clear" w:color="auto" w:fill="FFFFFF"/>
        </w:rPr>
      </w:pPr>
    </w:p>
    <w:p w:rsidR="00640A80" w:rsidRPr="00C46C8E" w:rsidRDefault="00640A80" w:rsidP="00AA2F3A">
      <w:pPr>
        <w:autoSpaceDE w:val="0"/>
        <w:autoSpaceDN w:val="0"/>
        <w:adjustRightInd w:val="0"/>
        <w:spacing w:after="0" w:line="240" w:lineRule="auto"/>
        <w:jc w:val="both"/>
        <w:rPr>
          <w:rFonts w:cstheme="minorHAnsi"/>
          <w:color w:val="222222"/>
          <w:sz w:val="24"/>
          <w:szCs w:val="24"/>
          <w:shd w:val="clear" w:color="auto" w:fill="FFFFFF"/>
        </w:rPr>
      </w:pPr>
      <w:r>
        <w:rPr>
          <w:rFonts w:cstheme="minorHAnsi"/>
          <w:color w:val="222222"/>
          <w:sz w:val="24"/>
          <w:szCs w:val="24"/>
          <w:shd w:val="clear" w:color="auto" w:fill="FFFFFF"/>
        </w:rPr>
        <w:t>Tipo de gráfico: línea de tendencia</w:t>
      </w:r>
    </w:p>
    <w:p w:rsidR="00AA2F3A" w:rsidRDefault="00AA2F3A" w:rsidP="00AA2F3A">
      <w:pPr>
        <w:autoSpaceDE w:val="0"/>
        <w:autoSpaceDN w:val="0"/>
        <w:adjustRightInd w:val="0"/>
        <w:spacing w:after="0" w:line="240" w:lineRule="auto"/>
        <w:jc w:val="both"/>
        <w:rPr>
          <w:rFonts w:cstheme="minorHAnsi"/>
          <w:color w:val="222222"/>
          <w:sz w:val="24"/>
          <w:szCs w:val="24"/>
          <w:shd w:val="clear" w:color="auto" w:fill="FFFFFF"/>
        </w:rPr>
      </w:pPr>
    </w:p>
    <w:p w:rsidR="00E211B6" w:rsidRPr="00E211B6" w:rsidRDefault="00E211B6" w:rsidP="00AA2F3A">
      <w:pPr>
        <w:autoSpaceDE w:val="0"/>
        <w:autoSpaceDN w:val="0"/>
        <w:adjustRightInd w:val="0"/>
        <w:spacing w:after="0" w:line="240" w:lineRule="auto"/>
        <w:jc w:val="both"/>
        <w:rPr>
          <w:rFonts w:cstheme="minorHAnsi"/>
          <w:b/>
          <w:i/>
          <w:color w:val="222222"/>
          <w:sz w:val="24"/>
          <w:szCs w:val="24"/>
          <w:shd w:val="clear" w:color="auto" w:fill="FFFFFF"/>
        </w:rPr>
      </w:pPr>
      <w:r w:rsidRPr="00E211B6">
        <w:rPr>
          <w:rFonts w:cstheme="minorHAnsi"/>
          <w:b/>
          <w:i/>
          <w:color w:val="222222"/>
          <w:sz w:val="24"/>
          <w:szCs w:val="24"/>
          <w:shd w:val="clear" w:color="auto" w:fill="FFFFFF"/>
        </w:rPr>
        <w:t>Casi siete de cada diez chicos en quinto de primaria no aprenden lo que deberían en matemáticas</w:t>
      </w:r>
    </w:p>
    <w:p w:rsidR="00AA2F3A" w:rsidRPr="00C46C8E" w:rsidRDefault="00AA2F3A" w:rsidP="00AA2F3A">
      <w:pPr>
        <w:pStyle w:val="Ttulo2"/>
        <w:rPr>
          <w:rFonts w:asciiTheme="minorHAnsi" w:hAnsiTheme="minorHAnsi" w:cstheme="minorHAnsi"/>
          <w:sz w:val="24"/>
          <w:szCs w:val="24"/>
          <w:shd w:val="clear" w:color="auto" w:fill="FFFFFF"/>
        </w:rPr>
      </w:pPr>
      <w:r w:rsidRPr="00C46C8E">
        <w:rPr>
          <w:rFonts w:asciiTheme="minorHAnsi" w:hAnsiTheme="minorHAnsi" w:cstheme="minorHAnsi"/>
          <w:sz w:val="24"/>
          <w:szCs w:val="24"/>
          <w:shd w:val="clear" w:color="auto" w:fill="FFFFFF"/>
        </w:rPr>
        <w:t>Porcentaje de estudiantes de 5º con un nivel avanzado o satisfactorio en las pruebas estandarizadas nacionales de matemáticas</w:t>
      </w:r>
    </w:p>
    <w:p w:rsidR="00AA2F3A" w:rsidRPr="00C46C8E" w:rsidRDefault="00AA2F3A" w:rsidP="00AA2F3A">
      <w:pPr>
        <w:rPr>
          <w:rFonts w:cstheme="minorHAnsi"/>
          <w:sz w:val="24"/>
          <w:szCs w:val="24"/>
        </w:rPr>
      </w:pPr>
    </w:p>
    <w:p w:rsidR="00AA2F3A" w:rsidRPr="00C46C8E" w:rsidRDefault="00AA2F3A" w:rsidP="00AA2F3A">
      <w:pPr>
        <w:jc w:val="both"/>
        <w:rPr>
          <w:rFonts w:cstheme="minorHAnsi"/>
          <w:sz w:val="24"/>
          <w:szCs w:val="24"/>
        </w:rPr>
      </w:pPr>
      <w:r w:rsidRPr="00C46C8E">
        <w:rPr>
          <w:rFonts w:cstheme="minorHAnsi"/>
          <w:sz w:val="24"/>
          <w:szCs w:val="24"/>
        </w:rPr>
        <w:t>En el caso de la prueba de matemáticas para el quinto grado es donde menor avance hubo en el periodo 2009-2016</w:t>
      </w:r>
      <w:r w:rsidR="007D37B0" w:rsidRPr="00C46C8E">
        <w:rPr>
          <w:rFonts w:cstheme="minorHAnsi"/>
          <w:sz w:val="24"/>
          <w:szCs w:val="24"/>
        </w:rPr>
        <w:t xml:space="preserve"> entre las pruebas de logro realizados por el </w:t>
      </w:r>
      <w:proofErr w:type="spellStart"/>
      <w:r w:rsidR="007D37B0" w:rsidRPr="00C46C8E">
        <w:rPr>
          <w:rFonts w:cstheme="minorHAnsi"/>
          <w:sz w:val="24"/>
          <w:szCs w:val="24"/>
        </w:rPr>
        <w:t>Icfes</w:t>
      </w:r>
      <w:proofErr w:type="spellEnd"/>
      <w:r w:rsidR="007D37B0" w:rsidRPr="00C46C8E">
        <w:rPr>
          <w:rFonts w:cstheme="minorHAnsi"/>
          <w:sz w:val="24"/>
          <w:szCs w:val="24"/>
        </w:rPr>
        <w:t xml:space="preserve"> para evaluar el desempeño de los estudiantes</w:t>
      </w:r>
      <w:r w:rsidRPr="00C46C8E">
        <w:rPr>
          <w:rFonts w:cstheme="minorHAnsi"/>
          <w:sz w:val="24"/>
          <w:szCs w:val="24"/>
        </w:rPr>
        <w:t>; así, el porcentaje de estudiantes que obtuvieron las categorías más bajas, esto es niveles insuficiente y mínimo no varió, y se ubicó en 68%; por tanto, en dicho periodo se mantuvo estable en un 32% el porcentaje de estudiantes en las categorías de desempeño más altas, esto es satisfactorio y avanzado.</w:t>
      </w:r>
    </w:p>
    <w:p w:rsidR="00AA2F3A" w:rsidRPr="00C46C8E" w:rsidRDefault="00AA2F3A" w:rsidP="00AA2F3A">
      <w:pPr>
        <w:jc w:val="both"/>
        <w:rPr>
          <w:rFonts w:cstheme="minorHAnsi"/>
          <w:sz w:val="24"/>
          <w:szCs w:val="24"/>
        </w:rPr>
      </w:pPr>
      <w:r w:rsidRPr="00C46C8E">
        <w:rPr>
          <w:rFonts w:cstheme="minorHAnsi"/>
          <w:sz w:val="24"/>
          <w:szCs w:val="24"/>
        </w:rPr>
        <w:t>De acuerdo con un reciente estudio contratado por el Ministerio de Educación Nacional, donde más se están perdiendo niños en el sistema escolar colombiano es de quinto grado a sexto grado</w:t>
      </w:r>
      <w:r w:rsidRPr="00C46C8E">
        <w:rPr>
          <w:rStyle w:val="Refdenotaalpie"/>
          <w:rFonts w:cstheme="minorHAnsi"/>
          <w:sz w:val="24"/>
          <w:szCs w:val="24"/>
        </w:rPr>
        <w:footnoteReference w:id="1"/>
      </w:r>
      <w:r w:rsidRPr="00C46C8E">
        <w:rPr>
          <w:rFonts w:cstheme="minorHAnsi"/>
          <w:sz w:val="24"/>
          <w:szCs w:val="24"/>
        </w:rPr>
        <w:t xml:space="preserve">,  una posible hipótesis para este resultado es el bajo logro alcanzado por los niños y niñas en este nivel que pueden terminar expulsándolos del sistema al visualizar unos </w:t>
      </w:r>
      <w:r w:rsidRPr="00C46C8E">
        <w:rPr>
          <w:rFonts w:cstheme="minorHAnsi"/>
          <w:sz w:val="24"/>
          <w:szCs w:val="24"/>
        </w:rPr>
        <w:lastRenderedPageBreak/>
        <w:t xml:space="preserve">desafíos mayores al inicio de la básica secundaria, que muy seguramente serían incapaces de lograr si aún no han alcanzado los que demanda el grado quinto. </w:t>
      </w:r>
    </w:p>
    <w:p w:rsidR="00AA2F3A" w:rsidRPr="00C46C8E" w:rsidRDefault="00640A80" w:rsidP="00AA2F3A">
      <w:pPr>
        <w:jc w:val="both"/>
        <w:rPr>
          <w:rFonts w:cstheme="minorHAnsi"/>
          <w:sz w:val="24"/>
          <w:szCs w:val="24"/>
        </w:rPr>
      </w:pPr>
      <w:r>
        <w:rPr>
          <w:rFonts w:cstheme="minorHAnsi"/>
          <w:sz w:val="24"/>
          <w:szCs w:val="24"/>
        </w:rPr>
        <w:t xml:space="preserve">Tipo de gráfico: gráfico de barras con dos tipos de información por año: sumatoria de porcentaje de satisfactorio y avanzado y sumatoria de insuficiente y </w:t>
      </w:r>
      <w:proofErr w:type="spellStart"/>
      <w:r>
        <w:rPr>
          <w:rFonts w:cstheme="minorHAnsi"/>
          <w:sz w:val="24"/>
          <w:szCs w:val="24"/>
        </w:rPr>
        <w:t>minimo</w:t>
      </w:r>
      <w:proofErr w:type="spellEnd"/>
      <w:r>
        <w:rPr>
          <w:rFonts w:cstheme="minorHAnsi"/>
          <w:sz w:val="24"/>
          <w:szCs w:val="24"/>
        </w:rPr>
        <w:t>.</w:t>
      </w:r>
    </w:p>
    <w:p w:rsidR="007D37B0" w:rsidRPr="00C46C8E" w:rsidRDefault="007D37B0" w:rsidP="00AA2F3A">
      <w:pPr>
        <w:jc w:val="both"/>
        <w:rPr>
          <w:rFonts w:cstheme="minorHAnsi"/>
          <w:sz w:val="24"/>
          <w:szCs w:val="24"/>
        </w:rPr>
      </w:pPr>
    </w:p>
    <w:p w:rsidR="007D37B0" w:rsidRPr="00C46C8E" w:rsidRDefault="007D37B0" w:rsidP="007D37B0">
      <w:pPr>
        <w:pStyle w:val="Ttulo1"/>
        <w:rPr>
          <w:rFonts w:asciiTheme="minorHAnsi" w:hAnsiTheme="minorHAnsi" w:cstheme="minorHAnsi"/>
          <w:sz w:val="24"/>
          <w:szCs w:val="24"/>
        </w:rPr>
      </w:pPr>
      <w:r w:rsidRPr="00C46C8E">
        <w:rPr>
          <w:rFonts w:asciiTheme="minorHAnsi" w:hAnsiTheme="minorHAnsi" w:cstheme="minorHAnsi"/>
          <w:sz w:val="24"/>
          <w:szCs w:val="24"/>
        </w:rPr>
        <w:t>POBREZA</w:t>
      </w:r>
    </w:p>
    <w:p w:rsidR="007D37B0" w:rsidRPr="00E211B6" w:rsidRDefault="00E211B6" w:rsidP="007D37B0">
      <w:pPr>
        <w:rPr>
          <w:rFonts w:cstheme="minorHAnsi"/>
          <w:b/>
          <w:i/>
          <w:sz w:val="24"/>
          <w:szCs w:val="24"/>
        </w:rPr>
      </w:pPr>
      <w:r w:rsidRPr="00E211B6">
        <w:rPr>
          <w:rFonts w:cstheme="minorHAnsi"/>
          <w:b/>
          <w:i/>
          <w:sz w:val="24"/>
          <w:szCs w:val="24"/>
        </w:rPr>
        <w:t>Sigue la tendencia de descenso de la pobreza monetaria en Medellín</w:t>
      </w:r>
    </w:p>
    <w:p w:rsidR="007D37B0" w:rsidRPr="00C46C8E" w:rsidRDefault="007D37B0" w:rsidP="007D37B0">
      <w:pPr>
        <w:pStyle w:val="Ttulo2"/>
        <w:rPr>
          <w:rFonts w:asciiTheme="minorHAnsi" w:hAnsiTheme="minorHAnsi" w:cstheme="minorHAnsi"/>
          <w:sz w:val="24"/>
          <w:szCs w:val="24"/>
          <w:shd w:val="clear" w:color="auto" w:fill="FFFFFF"/>
        </w:rPr>
      </w:pPr>
      <w:r w:rsidRPr="00C46C8E">
        <w:rPr>
          <w:rFonts w:asciiTheme="minorHAnsi" w:hAnsiTheme="minorHAnsi" w:cstheme="minorHAnsi"/>
          <w:sz w:val="24"/>
          <w:szCs w:val="24"/>
          <w:shd w:val="clear" w:color="auto" w:fill="FFFFFF"/>
        </w:rPr>
        <w:t>Incidencia pobreza monetaria</w:t>
      </w:r>
    </w:p>
    <w:p w:rsidR="007D37B0" w:rsidRPr="00C46C8E" w:rsidRDefault="007D37B0" w:rsidP="007D37B0">
      <w:pPr>
        <w:jc w:val="both"/>
        <w:rPr>
          <w:rFonts w:cstheme="minorHAnsi"/>
          <w:sz w:val="24"/>
          <w:szCs w:val="24"/>
        </w:rPr>
      </w:pPr>
      <w:r w:rsidRPr="00C46C8E">
        <w:rPr>
          <w:rFonts w:cstheme="minorHAnsi"/>
          <w:sz w:val="24"/>
          <w:szCs w:val="24"/>
        </w:rPr>
        <w:t>En el periodo 2008-2016, las principales ciudades del país y áreas metropolitanas experimentaron reducción en los niveles de pobreza: En el caso del promedio de las trece áreas metropolitanas la reducción fue del 40,9%, mientras la de Medellín A.M fue levemente superior con un 43,5%</w:t>
      </w:r>
    </w:p>
    <w:p w:rsidR="007D37B0" w:rsidRPr="00C46C8E" w:rsidRDefault="007D37B0" w:rsidP="00B84558">
      <w:pPr>
        <w:jc w:val="both"/>
        <w:rPr>
          <w:rFonts w:cstheme="minorHAnsi"/>
          <w:sz w:val="24"/>
          <w:szCs w:val="24"/>
        </w:rPr>
      </w:pPr>
      <w:r w:rsidRPr="00C46C8E">
        <w:rPr>
          <w:rFonts w:cstheme="minorHAnsi"/>
          <w:sz w:val="24"/>
          <w:szCs w:val="24"/>
        </w:rPr>
        <w:t>Para Medellín A.M esta reducción implicó tener un nivel de pobreza de 14,1%, lo que representó un total de 365.548 personas</w:t>
      </w:r>
      <w:r w:rsidRPr="00C46C8E">
        <w:rPr>
          <w:rStyle w:val="Refdenotaalpie"/>
          <w:rFonts w:cstheme="minorHAnsi"/>
          <w:sz w:val="24"/>
          <w:szCs w:val="24"/>
        </w:rPr>
        <w:footnoteReference w:id="2"/>
      </w:r>
      <w:r w:rsidRPr="00C46C8E">
        <w:rPr>
          <w:rFonts w:cstheme="minorHAnsi"/>
          <w:sz w:val="24"/>
          <w:szCs w:val="24"/>
        </w:rPr>
        <w:t xml:space="preserve"> en situación de pobreza, esto es, cuyo ingreso estaba por debajo del valor de la canasta básica definida por el Departamento Administrativo de Nacional de Estadística -DANE- que a 2016 para las trece áreas </w:t>
      </w:r>
    </w:p>
    <w:p w:rsidR="00B84558" w:rsidRDefault="00640A80" w:rsidP="00B84558">
      <w:pPr>
        <w:jc w:val="both"/>
        <w:rPr>
          <w:rFonts w:cstheme="minorHAnsi"/>
          <w:sz w:val="24"/>
          <w:szCs w:val="24"/>
        </w:rPr>
      </w:pPr>
      <w:r>
        <w:rPr>
          <w:rFonts w:cstheme="minorHAnsi"/>
          <w:sz w:val="24"/>
          <w:szCs w:val="24"/>
        </w:rPr>
        <w:t>Tipo de gráfico: Línea de tendencia.</w:t>
      </w:r>
    </w:p>
    <w:p w:rsidR="00E211B6" w:rsidRPr="00C46C8E" w:rsidRDefault="00E211B6" w:rsidP="00B84558">
      <w:pPr>
        <w:jc w:val="both"/>
        <w:rPr>
          <w:rFonts w:cstheme="minorHAnsi"/>
          <w:sz w:val="24"/>
          <w:szCs w:val="24"/>
        </w:rPr>
      </w:pPr>
    </w:p>
    <w:p w:rsidR="00B84558" w:rsidRPr="00C46C8E" w:rsidRDefault="00B84558" w:rsidP="00B84558">
      <w:pPr>
        <w:pStyle w:val="Ttulo2"/>
        <w:rPr>
          <w:rFonts w:asciiTheme="minorHAnsi" w:hAnsiTheme="minorHAnsi" w:cstheme="minorHAnsi"/>
          <w:sz w:val="24"/>
          <w:szCs w:val="24"/>
          <w:shd w:val="clear" w:color="auto" w:fill="FFFFFF"/>
        </w:rPr>
      </w:pPr>
      <w:r w:rsidRPr="00C46C8E">
        <w:rPr>
          <w:rFonts w:asciiTheme="minorHAnsi" w:hAnsiTheme="minorHAnsi" w:cstheme="minorHAnsi"/>
          <w:sz w:val="24"/>
          <w:szCs w:val="24"/>
          <w:shd w:val="clear" w:color="auto" w:fill="FFFFFF"/>
        </w:rPr>
        <w:t>Autopercepción de pobreza</w:t>
      </w:r>
    </w:p>
    <w:p w:rsidR="006E0A80" w:rsidRPr="00CD6A32" w:rsidRDefault="00CD6A32" w:rsidP="006E0A80">
      <w:pPr>
        <w:rPr>
          <w:rFonts w:cstheme="minorHAnsi"/>
          <w:b/>
          <w:i/>
          <w:sz w:val="24"/>
          <w:szCs w:val="24"/>
        </w:rPr>
      </w:pPr>
      <w:r w:rsidRPr="00CD6A32">
        <w:rPr>
          <w:rFonts w:cstheme="minorHAnsi"/>
          <w:b/>
          <w:i/>
          <w:sz w:val="24"/>
          <w:szCs w:val="24"/>
        </w:rPr>
        <w:t>Es mucho mayor la autopercepción de pobreza en el nivel socioeconómico bajo</w:t>
      </w:r>
    </w:p>
    <w:p w:rsidR="006E0A80" w:rsidRPr="00C46C8E" w:rsidRDefault="006E0A80" w:rsidP="006E0A80">
      <w:pPr>
        <w:jc w:val="both"/>
        <w:rPr>
          <w:rFonts w:cstheme="minorHAnsi"/>
          <w:bCs/>
          <w:kern w:val="24"/>
          <w:sz w:val="24"/>
          <w:szCs w:val="24"/>
        </w:rPr>
      </w:pPr>
      <w:r w:rsidRPr="00C46C8E">
        <w:rPr>
          <w:rFonts w:cstheme="minorHAnsi"/>
          <w:bCs/>
          <w:kern w:val="24"/>
          <w:sz w:val="24"/>
          <w:szCs w:val="24"/>
        </w:rPr>
        <w:t>Proveniente de nuestra Encuesta de Percepción Ciudadana, para el periodo 2006-2017 se observan dos tendencias claras en la autopercepción de pobreza; así, entre 2006 y 2011 hubo una caída muy significativa de ésta, pasando de 33% en 2006 a 11% en el año 2011. A partir de 2012 la auto percepción crece hasta un máximo de 21% tanto para 2015 como para 2016. En 2017, hubo una leve caída en la auto percepción de pobreza, llegando a 19%, esto es, dos puntos porcentuales- pp- menos frente al año inmediatamente anterior, similar a lo alcanzada en 2014.</w:t>
      </w:r>
    </w:p>
    <w:p w:rsidR="006E0A80" w:rsidRPr="00C46C8E" w:rsidRDefault="006E0A80" w:rsidP="006E0A80">
      <w:pPr>
        <w:autoSpaceDE w:val="0"/>
        <w:autoSpaceDN w:val="0"/>
        <w:adjustRightInd w:val="0"/>
        <w:spacing w:after="120"/>
        <w:jc w:val="both"/>
        <w:rPr>
          <w:rFonts w:cstheme="minorHAnsi"/>
          <w:bCs/>
          <w:kern w:val="24"/>
          <w:sz w:val="24"/>
          <w:szCs w:val="24"/>
        </w:rPr>
      </w:pPr>
      <w:r w:rsidRPr="00C46C8E">
        <w:rPr>
          <w:rFonts w:cstheme="minorHAnsi"/>
          <w:bCs/>
          <w:kern w:val="24"/>
          <w:sz w:val="24"/>
          <w:szCs w:val="24"/>
        </w:rPr>
        <w:t>Para el total nacional y los centros urbanos se presentan diferencias entre la auto percepción y los valores objetivos de la pobreza monetaria. En Medellín también se presenta dicha diferencia. En 2015, mientras la autopercepción fue de 21%, la pobreza monetaria alcanzó 14,3%, y en 2016 mientras la primera fue de 19%, la segunda fue de 14,1%, acortándose la distancia entre ambas mediciones.</w:t>
      </w:r>
    </w:p>
    <w:p w:rsidR="005963F8" w:rsidRPr="00C46C8E" w:rsidRDefault="006E0A80" w:rsidP="006E0A80">
      <w:pPr>
        <w:autoSpaceDE w:val="0"/>
        <w:autoSpaceDN w:val="0"/>
        <w:adjustRightInd w:val="0"/>
        <w:spacing w:after="120"/>
        <w:jc w:val="both"/>
        <w:rPr>
          <w:rFonts w:cstheme="minorHAnsi"/>
          <w:bCs/>
          <w:kern w:val="24"/>
          <w:sz w:val="24"/>
          <w:szCs w:val="24"/>
        </w:rPr>
      </w:pPr>
      <w:r w:rsidRPr="00C46C8E">
        <w:rPr>
          <w:rFonts w:cstheme="minorHAnsi"/>
          <w:bCs/>
          <w:kern w:val="24"/>
          <w:sz w:val="24"/>
          <w:szCs w:val="24"/>
        </w:rPr>
        <w:lastRenderedPageBreak/>
        <w:t>Dado que el estrato es una variable cercana a las condiciones socioeconómicas del hogar, es de esperar que la agrupación de estos por niveles socioeconómicos</w:t>
      </w:r>
      <w:r w:rsidRPr="00C46C8E">
        <w:rPr>
          <w:rStyle w:val="Refdenotaalpie"/>
          <w:rFonts w:cstheme="minorHAnsi"/>
          <w:bCs/>
          <w:kern w:val="24"/>
          <w:sz w:val="24"/>
          <w:szCs w:val="24"/>
        </w:rPr>
        <w:footnoteReference w:id="3"/>
      </w:r>
      <w:r w:rsidRPr="00C46C8E">
        <w:rPr>
          <w:rFonts w:cstheme="minorHAnsi"/>
          <w:bCs/>
          <w:kern w:val="24"/>
          <w:sz w:val="24"/>
          <w:szCs w:val="24"/>
        </w:rPr>
        <w:t xml:space="preserve"> muestre diferencias en la auto percepción de pobreza; así es de esperar que conforme crece el NSE disminuya la auto percepción y viceversa. </w:t>
      </w:r>
      <w:r w:rsidR="00B307D5" w:rsidRPr="00C46C8E">
        <w:rPr>
          <w:rFonts w:cstheme="minorHAnsi"/>
          <w:bCs/>
          <w:kern w:val="24"/>
          <w:sz w:val="24"/>
          <w:szCs w:val="24"/>
        </w:rPr>
        <w:t>Dicha</w:t>
      </w:r>
      <w:r w:rsidRPr="00C46C8E">
        <w:rPr>
          <w:rFonts w:cstheme="minorHAnsi"/>
          <w:bCs/>
          <w:kern w:val="24"/>
          <w:sz w:val="24"/>
          <w:szCs w:val="24"/>
        </w:rPr>
        <w:t xml:space="preserve"> relación se ha presentado consistentemente en Medellín para el periodo 2012-2017. Aunque en dicho periodo</w:t>
      </w:r>
      <w:r w:rsidR="00B307D5" w:rsidRPr="00C46C8E">
        <w:rPr>
          <w:rFonts w:cstheme="minorHAnsi"/>
          <w:bCs/>
          <w:kern w:val="24"/>
          <w:sz w:val="24"/>
          <w:szCs w:val="24"/>
        </w:rPr>
        <w:t xml:space="preserve">, la </w:t>
      </w:r>
      <w:r w:rsidRPr="00C46C8E">
        <w:rPr>
          <w:rFonts w:cstheme="minorHAnsi"/>
          <w:bCs/>
          <w:kern w:val="24"/>
          <w:sz w:val="24"/>
          <w:szCs w:val="24"/>
        </w:rPr>
        <w:t>auto percepción de pobreza</w:t>
      </w:r>
      <w:r w:rsidR="00B307D5" w:rsidRPr="00C46C8E">
        <w:rPr>
          <w:rFonts w:cstheme="minorHAnsi"/>
          <w:bCs/>
          <w:kern w:val="24"/>
          <w:sz w:val="24"/>
          <w:szCs w:val="24"/>
        </w:rPr>
        <w:t xml:space="preserve"> creció en el NSE alto</w:t>
      </w:r>
      <w:r w:rsidRPr="00C46C8E">
        <w:rPr>
          <w:rFonts w:cstheme="minorHAnsi"/>
          <w:bCs/>
          <w:kern w:val="24"/>
          <w:sz w:val="24"/>
          <w:szCs w:val="24"/>
        </w:rPr>
        <w:t>, nunca llegó a ser superior a las del NSE bajo</w:t>
      </w:r>
      <w:r w:rsidR="00B307D5" w:rsidRPr="00C46C8E">
        <w:rPr>
          <w:rFonts w:cstheme="minorHAnsi"/>
          <w:bCs/>
          <w:kern w:val="24"/>
          <w:sz w:val="24"/>
          <w:szCs w:val="24"/>
        </w:rPr>
        <w:t xml:space="preserve"> </w:t>
      </w:r>
      <w:r w:rsidRPr="00C46C8E">
        <w:rPr>
          <w:rFonts w:cstheme="minorHAnsi"/>
          <w:bCs/>
          <w:kern w:val="24"/>
          <w:sz w:val="24"/>
          <w:szCs w:val="24"/>
        </w:rPr>
        <w:t>ni el NSE medio</w:t>
      </w:r>
      <w:r w:rsidR="005963F8" w:rsidRPr="00C46C8E">
        <w:rPr>
          <w:rFonts w:cstheme="minorHAnsi"/>
          <w:bCs/>
          <w:kern w:val="24"/>
          <w:sz w:val="24"/>
          <w:szCs w:val="24"/>
        </w:rPr>
        <w:t xml:space="preserve">. </w:t>
      </w:r>
      <w:r w:rsidRPr="00C46C8E">
        <w:rPr>
          <w:rFonts w:cstheme="minorHAnsi"/>
          <w:bCs/>
          <w:kern w:val="24"/>
          <w:sz w:val="24"/>
          <w:szCs w:val="24"/>
        </w:rPr>
        <w:t xml:space="preserve">En 2017, en el NSE alto </w:t>
      </w:r>
      <w:r w:rsidR="005963F8" w:rsidRPr="00C46C8E">
        <w:rPr>
          <w:rFonts w:cstheme="minorHAnsi"/>
          <w:bCs/>
          <w:kern w:val="24"/>
          <w:sz w:val="24"/>
          <w:szCs w:val="24"/>
        </w:rPr>
        <w:t>la auto percepción se ubicó</w:t>
      </w:r>
      <w:r w:rsidRPr="00C46C8E">
        <w:rPr>
          <w:rFonts w:cstheme="minorHAnsi"/>
          <w:bCs/>
          <w:kern w:val="24"/>
          <w:sz w:val="24"/>
          <w:szCs w:val="24"/>
        </w:rPr>
        <w:t xml:space="preserve"> en 5</w:t>
      </w:r>
      <w:r w:rsidR="005963F8" w:rsidRPr="00C46C8E">
        <w:rPr>
          <w:rFonts w:cstheme="minorHAnsi"/>
          <w:bCs/>
          <w:kern w:val="24"/>
          <w:sz w:val="24"/>
          <w:szCs w:val="24"/>
        </w:rPr>
        <w:t>%, en el NSE medio fue de 14%, mientras en el NSE bajo fue de 28%.</w:t>
      </w:r>
    </w:p>
    <w:p w:rsidR="00541F6D" w:rsidRDefault="00640A80" w:rsidP="005963F8">
      <w:pPr>
        <w:pStyle w:val="Ttulo1"/>
        <w:rPr>
          <w:rFonts w:asciiTheme="minorHAnsi" w:hAnsiTheme="minorHAnsi" w:cstheme="minorHAnsi"/>
          <w:sz w:val="24"/>
          <w:szCs w:val="24"/>
        </w:rPr>
      </w:pPr>
      <w:r>
        <w:rPr>
          <w:rFonts w:asciiTheme="minorHAnsi" w:hAnsiTheme="minorHAnsi" w:cstheme="minorHAnsi"/>
          <w:sz w:val="24"/>
          <w:szCs w:val="24"/>
        </w:rPr>
        <w:t>Tipo de gráfico: línea de tendencia. Se puede cruzar con el anterior indicador de pobreza monetaria para contrastar</w:t>
      </w:r>
    </w:p>
    <w:p w:rsidR="00541F6D" w:rsidRDefault="00541F6D" w:rsidP="00541F6D"/>
    <w:p w:rsidR="00541F6D" w:rsidRPr="00CD6A32" w:rsidRDefault="00541F6D" w:rsidP="00541F6D">
      <w:pPr>
        <w:jc w:val="both"/>
        <w:rPr>
          <w:b/>
          <w:i/>
        </w:rPr>
      </w:pPr>
      <w:r w:rsidRPr="00CD6A32">
        <w:rPr>
          <w:b/>
          <w:i/>
        </w:rPr>
        <w:t>La desnutrición crónica desciende, pero sigue siendo la más alta en la primera infancia de Medellín</w:t>
      </w:r>
    </w:p>
    <w:p w:rsidR="00541F6D" w:rsidRDefault="00541F6D" w:rsidP="00541F6D">
      <w:pPr>
        <w:jc w:val="both"/>
      </w:pPr>
      <w:r>
        <w:t xml:space="preserve">En Medellín, la desnutrición crónica es la de mayor prevalencia relativa con respecto a la desnutrición global y aguda para los niños con edades en el rango de cero a seis años. Sin embargo, conforme a lo que sucede en el nivel nacional, la desnutrición crónica para la primera infancia ha descendido de manera sostenida en el período 2009-2016 hasta ubicarse en ese último año en 3,7%. En términos absolutos esto equivalió a pasar </w:t>
      </w:r>
      <w:r w:rsidRPr="00CC14B9">
        <w:t>de 8.762 niños y niñas en el grupo etario de cero a seis años con desnutrición crónica en 2012 a 4.509 en 2016.</w:t>
      </w:r>
    </w:p>
    <w:tbl>
      <w:tblPr>
        <w:tblStyle w:val="Tablaconcuadrcula"/>
        <w:tblW w:w="0" w:type="auto"/>
        <w:tblInd w:w="0" w:type="dxa"/>
        <w:tblLook w:val="04A0" w:firstRow="1" w:lastRow="0" w:firstColumn="1" w:lastColumn="0" w:noHBand="0" w:noVBand="1"/>
      </w:tblPr>
      <w:tblGrid>
        <w:gridCol w:w="4759"/>
        <w:gridCol w:w="813"/>
        <w:gridCol w:w="814"/>
        <w:gridCol w:w="814"/>
        <w:gridCol w:w="814"/>
        <w:gridCol w:w="814"/>
      </w:tblGrid>
      <w:tr w:rsidR="00541F6D" w:rsidRPr="00EB67A4" w:rsidTr="008F31BA">
        <w:trPr>
          <w:trHeight w:val="300"/>
        </w:trPr>
        <w:tc>
          <w:tcPr>
            <w:tcW w:w="4759" w:type="dxa"/>
            <w:noWrap/>
            <w:vAlign w:val="center"/>
            <w:hideMark/>
          </w:tcPr>
          <w:p w:rsidR="00541F6D" w:rsidRPr="00EB67A4" w:rsidRDefault="00541F6D" w:rsidP="008F31BA">
            <w:pPr>
              <w:rPr>
                <w:b/>
                <w:bCs/>
              </w:rPr>
            </w:pPr>
            <w:r w:rsidRPr="00EB67A4">
              <w:rPr>
                <w:b/>
                <w:bCs/>
              </w:rPr>
              <w:t>Variables</w:t>
            </w:r>
          </w:p>
        </w:tc>
        <w:tc>
          <w:tcPr>
            <w:tcW w:w="813" w:type="dxa"/>
            <w:noWrap/>
            <w:vAlign w:val="center"/>
            <w:hideMark/>
          </w:tcPr>
          <w:p w:rsidR="00541F6D" w:rsidRPr="00EB67A4" w:rsidRDefault="00541F6D" w:rsidP="008F31BA">
            <w:pPr>
              <w:jc w:val="center"/>
              <w:rPr>
                <w:b/>
                <w:bCs/>
              </w:rPr>
            </w:pPr>
            <w:r w:rsidRPr="00EB67A4">
              <w:rPr>
                <w:b/>
                <w:bCs/>
              </w:rPr>
              <w:t>2012</w:t>
            </w:r>
          </w:p>
        </w:tc>
        <w:tc>
          <w:tcPr>
            <w:tcW w:w="814" w:type="dxa"/>
            <w:noWrap/>
            <w:vAlign w:val="center"/>
            <w:hideMark/>
          </w:tcPr>
          <w:p w:rsidR="00541F6D" w:rsidRPr="00EB67A4" w:rsidRDefault="00541F6D" w:rsidP="008F31BA">
            <w:pPr>
              <w:jc w:val="center"/>
              <w:rPr>
                <w:b/>
                <w:bCs/>
              </w:rPr>
            </w:pPr>
            <w:r w:rsidRPr="00EB67A4">
              <w:rPr>
                <w:b/>
                <w:bCs/>
              </w:rPr>
              <w:t>2013</w:t>
            </w:r>
          </w:p>
        </w:tc>
        <w:tc>
          <w:tcPr>
            <w:tcW w:w="814" w:type="dxa"/>
            <w:noWrap/>
            <w:vAlign w:val="center"/>
            <w:hideMark/>
          </w:tcPr>
          <w:p w:rsidR="00541F6D" w:rsidRPr="00EB67A4" w:rsidRDefault="00541F6D" w:rsidP="008F31BA">
            <w:pPr>
              <w:jc w:val="center"/>
              <w:rPr>
                <w:b/>
                <w:bCs/>
              </w:rPr>
            </w:pPr>
            <w:r w:rsidRPr="00EB67A4">
              <w:rPr>
                <w:b/>
                <w:bCs/>
              </w:rPr>
              <w:t>2014</w:t>
            </w:r>
          </w:p>
        </w:tc>
        <w:tc>
          <w:tcPr>
            <w:tcW w:w="814" w:type="dxa"/>
            <w:noWrap/>
            <w:vAlign w:val="center"/>
            <w:hideMark/>
          </w:tcPr>
          <w:p w:rsidR="00541F6D" w:rsidRPr="00EB67A4" w:rsidRDefault="00541F6D" w:rsidP="008F31BA">
            <w:pPr>
              <w:jc w:val="center"/>
              <w:rPr>
                <w:b/>
                <w:bCs/>
              </w:rPr>
            </w:pPr>
            <w:r w:rsidRPr="00EB67A4">
              <w:rPr>
                <w:b/>
                <w:bCs/>
              </w:rPr>
              <w:t>2015</w:t>
            </w:r>
          </w:p>
        </w:tc>
        <w:tc>
          <w:tcPr>
            <w:tcW w:w="814" w:type="dxa"/>
            <w:noWrap/>
            <w:vAlign w:val="center"/>
            <w:hideMark/>
          </w:tcPr>
          <w:p w:rsidR="00541F6D" w:rsidRPr="00EB67A4" w:rsidRDefault="00541F6D" w:rsidP="008F31BA">
            <w:pPr>
              <w:jc w:val="center"/>
              <w:rPr>
                <w:b/>
                <w:bCs/>
              </w:rPr>
            </w:pPr>
            <w:r w:rsidRPr="00EB67A4">
              <w:rPr>
                <w:b/>
                <w:bCs/>
              </w:rPr>
              <w:t>2016</w:t>
            </w:r>
          </w:p>
        </w:tc>
      </w:tr>
      <w:tr w:rsidR="00541F6D" w:rsidRPr="00EB67A4" w:rsidTr="008F31BA">
        <w:trPr>
          <w:trHeight w:val="300"/>
        </w:trPr>
        <w:tc>
          <w:tcPr>
            <w:tcW w:w="4759" w:type="dxa"/>
            <w:noWrap/>
            <w:vAlign w:val="center"/>
            <w:hideMark/>
          </w:tcPr>
          <w:p w:rsidR="00541F6D" w:rsidRPr="00EB67A4" w:rsidRDefault="00541F6D" w:rsidP="008F31BA">
            <w:r w:rsidRPr="00EB67A4">
              <w:t>Prevalencia de desnutrición crónica (estatura baja para la edad) en menores de seis años</w:t>
            </w:r>
          </w:p>
        </w:tc>
        <w:tc>
          <w:tcPr>
            <w:tcW w:w="813" w:type="dxa"/>
            <w:vAlign w:val="center"/>
            <w:hideMark/>
          </w:tcPr>
          <w:p w:rsidR="00541F6D" w:rsidRPr="00EB67A4" w:rsidRDefault="00541F6D" w:rsidP="008F31BA">
            <w:pPr>
              <w:jc w:val="center"/>
            </w:pPr>
            <w:r w:rsidRPr="00EB67A4">
              <w:t>9,3%</w:t>
            </w:r>
          </w:p>
        </w:tc>
        <w:tc>
          <w:tcPr>
            <w:tcW w:w="814" w:type="dxa"/>
            <w:vAlign w:val="center"/>
            <w:hideMark/>
          </w:tcPr>
          <w:p w:rsidR="00541F6D" w:rsidRPr="00EB67A4" w:rsidRDefault="00541F6D" w:rsidP="008F31BA">
            <w:pPr>
              <w:jc w:val="center"/>
            </w:pPr>
            <w:r w:rsidRPr="00EB67A4">
              <w:t>8,4%</w:t>
            </w:r>
          </w:p>
        </w:tc>
        <w:tc>
          <w:tcPr>
            <w:tcW w:w="814" w:type="dxa"/>
            <w:vAlign w:val="center"/>
            <w:hideMark/>
          </w:tcPr>
          <w:p w:rsidR="00541F6D" w:rsidRPr="00EB67A4" w:rsidRDefault="00541F6D" w:rsidP="008F31BA">
            <w:pPr>
              <w:jc w:val="center"/>
            </w:pPr>
            <w:r w:rsidRPr="00EB67A4">
              <w:t>7,6%</w:t>
            </w:r>
          </w:p>
        </w:tc>
        <w:tc>
          <w:tcPr>
            <w:tcW w:w="814" w:type="dxa"/>
            <w:vAlign w:val="center"/>
            <w:hideMark/>
          </w:tcPr>
          <w:p w:rsidR="00541F6D" w:rsidRPr="00EB67A4" w:rsidRDefault="00541F6D" w:rsidP="008F31BA">
            <w:pPr>
              <w:jc w:val="center"/>
            </w:pPr>
            <w:r w:rsidRPr="00EB67A4">
              <w:t>7,3%</w:t>
            </w:r>
          </w:p>
        </w:tc>
        <w:tc>
          <w:tcPr>
            <w:tcW w:w="814" w:type="dxa"/>
            <w:vAlign w:val="center"/>
            <w:hideMark/>
          </w:tcPr>
          <w:p w:rsidR="00541F6D" w:rsidRPr="00EB67A4" w:rsidRDefault="00541F6D" w:rsidP="008F31BA">
            <w:pPr>
              <w:jc w:val="center"/>
            </w:pPr>
            <w:r w:rsidRPr="00EB67A4">
              <w:t>7,1%</w:t>
            </w:r>
          </w:p>
        </w:tc>
      </w:tr>
    </w:tbl>
    <w:p w:rsidR="00541F6D" w:rsidRDefault="00541F6D" w:rsidP="00541F6D">
      <w:pPr>
        <w:jc w:val="both"/>
      </w:pPr>
    </w:p>
    <w:p w:rsidR="00541F6D" w:rsidRDefault="00541F6D" w:rsidP="00541F6D">
      <w:pPr>
        <w:jc w:val="both"/>
        <w:rPr>
          <w:rFonts w:asciiTheme="majorHAnsi" w:hAnsiTheme="majorHAnsi" w:cstheme="majorHAnsi"/>
          <w:color w:val="4472C4" w:themeColor="accent1"/>
        </w:rPr>
      </w:pPr>
      <w:r>
        <w:rPr>
          <w:rFonts w:asciiTheme="majorHAnsi" w:hAnsiTheme="majorHAnsi" w:cstheme="majorHAnsi"/>
          <w:color w:val="4472C4" w:themeColor="accent1"/>
        </w:rPr>
        <w:t>Tipo de gráfica: Cruce de variables en una gráfica de líneas que refleje la evolución por años del indicador</w:t>
      </w:r>
    </w:p>
    <w:p w:rsidR="00541F6D" w:rsidRDefault="00541F6D" w:rsidP="00541F6D">
      <w:pPr>
        <w:jc w:val="both"/>
      </w:pPr>
    </w:p>
    <w:p w:rsidR="00541F6D" w:rsidRPr="00CD6A32" w:rsidRDefault="00541F6D" w:rsidP="00541F6D">
      <w:pPr>
        <w:jc w:val="both"/>
        <w:rPr>
          <w:b/>
          <w:i/>
        </w:rPr>
      </w:pPr>
      <w:r w:rsidRPr="00CD6A32">
        <w:rPr>
          <w:b/>
          <w:i/>
        </w:rPr>
        <w:t xml:space="preserve">Menor percepción de garantía del derecho a la salud en Medellín impactada por tiempos de atención </w:t>
      </w:r>
    </w:p>
    <w:p w:rsidR="00541F6D" w:rsidRDefault="00541F6D" w:rsidP="00541F6D">
      <w:pPr>
        <w:jc w:val="both"/>
      </w:pPr>
      <w:r>
        <w:t>E</w:t>
      </w:r>
      <w:r w:rsidRPr="00634296">
        <w:t>n 2017</w:t>
      </w:r>
      <w:r>
        <w:t>,</w:t>
      </w:r>
      <w:r w:rsidRPr="00634296">
        <w:t xml:space="preserve"> 59% de los habitantes de Medellín manifestaron </w:t>
      </w:r>
      <w:r>
        <w:t>percibir</w:t>
      </w:r>
      <w:r w:rsidRPr="00634296">
        <w:t xml:space="preserve"> que en </w:t>
      </w:r>
      <w:r>
        <w:t>la ciudad</w:t>
      </w:r>
      <w:r w:rsidRPr="00634296">
        <w:t xml:space="preserve"> sí se le garantiza el derecho a la salud, proporción inferior en 7 pp a la registrada en 2015 (66%) y también al promedio de la serie histórica (63%). Lo anterior puede tener relación con el deterioro reportado en la oportunidad de atención en los servicios de salud</w:t>
      </w:r>
      <w:r>
        <w:t xml:space="preserve"> en la ciudad</w:t>
      </w:r>
      <w:r w:rsidRPr="00634296">
        <w:t xml:space="preserve">. En efecto, </w:t>
      </w:r>
      <w:r>
        <w:t xml:space="preserve">al analizar la percepción sobre la garantía del derecho a la salud cruzándola con </w:t>
      </w:r>
      <w:r w:rsidRPr="00634296">
        <w:t xml:space="preserve">el tiempo de espera </w:t>
      </w:r>
      <w:r>
        <w:t xml:space="preserve">reportado </w:t>
      </w:r>
      <w:r w:rsidRPr="00634296">
        <w:t>para recibir el servicio</w:t>
      </w:r>
      <w:r>
        <w:t>,</w:t>
      </w:r>
      <w:r w:rsidRPr="00634296">
        <w:t xml:space="preserve"> se encuentra que en el grupo de aquellos medellinenses que recibieron el servicio en un lapso de 1 a 5 días hay una mayor percepción de garantía, con 70% que así lo manifiestan, mientras que en el grupo de ciudadanos que reportaron haber esperado más de 30 días para recibir el servicio, esa proporción cae a 43%.</w:t>
      </w:r>
    </w:p>
    <w:tbl>
      <w:tblPr>
        <w:tblStyle w:val="Tablaconcuadrcula"/>
        <w:tblW w:w="0" w:type="auto"/>
        <w:tblInd w:w="0" w:type="dxa"/>
        <w:tblLook w:val="04A0" w:firstRow="1" w:lastRow="0" w:firstColumn="1" w:lastColumn="0" w:noHBand="0" w:noVBand="1"/>
      </w:tblPr>
      <w:tblGrid>
        <w:gridCol w:w="980"/>
        <w:gridCol w:w="981"/>
        <w:gridCol w:w="981"/>
        <w:gridCol w:w="981"/>
        <w:gridCol w:w="981"/>
        <w:gridCol w:w="981"/>
        <w:gridCol w:w="981"/>
        <w:gridCol w:w="981"/>
        <w:gridCol w:w="981"/>
      </w:tblGrid>
      <w:tr w:rsidR="00541F6D" w:rsidRPr="00CC14B9" w:rsidTr="008F31BA">
        <w:trPr>
          <w:trHeight w:val="300"/>
        </w:trPr>
        <w:tc>
          <w:tcPr>
            <w:tcW w:w="1200" w:type="dxa"/>
            <w:noWrap/>
            <w:vAlign w:val="center"/>
            <w:hideMark/>
          </w:tcPr>
          <w:p w:rsidR="00541F6D" w:rsidRPr="00CC14B9" w:rsidRDefault="00541F6D" w:rsidP="008F31BA">
            <w:pPr>
              <w:jc w:val="center"/>
              <w:rPr>
                <w:b/>
                <w:bCs/>
              </w:rPr>
            </w:pPr>
            <w:r w:rsidRPr="00CC14B9">
              <w:rPr>
                <w:b/>
                <w:bCs/>
              </w:rPr>
              <w:lastRenderedPageBreak/>
              <w:t>Variable</w:t>
            </w:r>
          </w:p>
        </w:tc>
        <w:tc>
          <w:tcPr>
            <w:tcW w:w="1200" w:type="dxa"/>
            <w:noWrap/>
            <w:vAlign w:val="center"/>
            <w:hideMark/>
          </w:tcPr>
          <w:p w:rsidR="00541F6D" w:rsidRPr="00CC14B9" w:rsidRDefault="00541F6D" w:rsidP="008F31BA">
            <w:pPr>
              <w:jc w:val="center"/>
              <w:rPr>
                <w:b/>
                <w:bCs/>
              </w:rPr>
            </w:pPr>
            <w:r w:rsidRPr="00CC14B9">
              <w:rPr>
                <w:b/>
                <w:bCs/>
              </w:rPr>
              <w:t>2009</w:t>
            </w:r>
          </w:p>
        </w:tc>
        <w:tc>
          <w:tcPr>
            <w:tcW w:w="1200" w:type="dxa"/>
            <w:noWrap/>
            <w:vAlign w:val="center"/>
            <w:hideMark/>
          </w:tcPr>
          <w:p w:rsidR="00541F6D" w:rsidRPr="00CC14B9" w:rsidRDefault="00541F6D" w:rsidP="008F31BA">
            <w:pPr>
              <w:jc w:val="center"/>
              <w:rPr>
                <w:b/>
                <w:bCs/>
              </w:rPr>
            </w:pPr>
            <w:r w:rsidRPr="00CC14B9">
              <w:rPr>
                <w:b/>
                <w:bCs/>
              </w:rPr>
              <w:t>2010</w:t>
            </w:r>
          </w:p>
        </w:tc>
        <w:tc>
          <w:tcPr>
            <w:tcW w:w="1200" w:type="dxa"/>
            <w:noWrap/>
            <w:vAlign w:val="center"/>
            <w:hideMark/>
          </w:tcPr>
          <w:p w:rsidR="00541F6D" w:rsidRPr="00CC14B9" w:rsidRDefault="00541F6D" w:rsidP="008F31BA">
            <w:pPr>
              <w:jc w:val="center"/>
              <w:rPr>
                <w:b/>
                <w:bCs/>
              </w:rPr>
            </w:pPr>
            <w:r w:rsidRPr="00CC14B9">
              <w:rPr>
                <w:b/>
                <w:bCs/>
              </w:rPr>
              <w:t>2011</w:t>
            </w:r>
          </w:p>
        </w:tc>
        <w:tc>
          <w:tcPr>
            <w:tcW w:w="1200" w:type="dxa"/>
            <w:noWrap/>
            <w:vAlign w:val="center"/>
            <w:hideMark/>
          </w:tcPr>
          <w:p w:rsidR="00541F6D" w:rsidRPr="00CC14B9" w:rsidRDefault="00541F6D" w:rsidP="008F31BA">
            <w:pPr>
              <w:jc w:val="center"/>
              <w:rPr>
                <w:b/>
                <w:bCs/>
              </w:rPr>
            </w:pPr>
            <w:r w:rsidRPr="00CC14B9">
              <w:rPr>
                <w:b/>
                <w:bCs/>
              </w:rPr>
              <w:t>2012</w:t>
            </w:r>
          </w:p>
        </w:tc>
        <w:tc>
          <w:tcPr>
            <w:tcW w:w="1200" w:type="dxa"/>
            <w:noWrap/>
            <w:vAlign w:val="center"/>
            <w:hideMark/>
          </w:tcPr>
          <w:p w:rsidR="00541F6D" w:rsidRPr="00CC14B9" w:rsidRDefault="00541F6D" w:rsidP="008F31BA">
            <w:pPr>
              <w:jc w:val="center"/>
              <w:rPr>
                <w:b/>
                <w:bCs/>
              </w:rPr>
            </w:pPr>
            <w:r w:rsidRPr="00CC14B9">
              <w:rPr>
                <w:b/>
                <w:bCs/>
              </w:rPr>
              <w:t>2013</w:t>
            </w:r>
          </w:p>
        </w:tc>
        <w:tc>
          <w:tcPr>
            <w:tcW w:w="1200" w:type="dxa"/>
            <w:noWrap/>
            <w:vAlign w:val="center"/>
            <w:hideMark/>
          </w:tcPr>
          <w:p w:rsidR="00541F6D" w:rsidRPr="00CC14B9" w:rsidRDefault="00541F6D" w:rsidP="008F31BA">
            <w:pPr>
              <w:jc w:val="center"/>
              <w:rPr>
                <w:b/>
                <w:bCs/>
              </w:rPr>
            </w:pPr>
            <w:r w:rsidRPr="00CC14B9">
              <w:rPr>
                <w:b/>
                <w:bCs/>
              </w:rPr>
              <w:t>2014</w:t>
            </w:r>
          </w:p>
        </w:tc>
        <w:tc>
          <w:tcPr>
            <w:tcW w:w="1200" w:type="dxa"/>
            <w:noWrap/>
            <w:vAlign w:val="center"/>
            <w:hideMark/>
          </w:tcPr>
          <w:p w:rsidR="00541F6D" w:rsidRPr="00CC14B9" w:rsidRDefault="00541F6D" w:rsidP="008F31BA">
            <w:pPr>
              <w:jc w:val="center"/>
              <w:rPr>
                <w:b/>
                <w:bCs/>
              </w:rPr>
            </w:pPr>
            <w:r w:rsidRPr="00CC14B9">
              <w:rPr>
                <w:b/>
                <w:bCs/>
              </w:rPr>
              <w:t>2015</w:t>
            </w:r>
          </w:p>
        </w:tc>
        <w:tc>
          <w:tcPr>
            <w:tcW w:w="1200" w:type="dxa"/>
            <w:noWrap/>
            <w:vAlign w:val="center"/>
            <w:hideMark/>
          </w:tcPr>
          <w:p w:rsidR="00541F6D" w:rsidRPr="00CC14B9" w:rsidRDefault="00541F6D" w:rsidP="008F31BA">
            <w:pPr>
              <w:jc w:val="center"/>
              <w:rPr>
                <w:b/>
                <w:bCs/>
              </w:rPr>
            </w:pPr>
            <w:r w:rsidRPr="00CC14B9">
              <w:rPr>
                <w:b/>
                <w:bCs/>
              </w:rPr>
              <w:t>2017</w:t>
            </w:r>
          </w:p>
        </w:tc>
      </w:tr>
      <w:tr w:rsidR="00541F6D" w:rsidRPr="00CC14B9" w:rsidTr="008F31BA">
        <w:trPr>
          <w:trHeight w:val="300"/>
        </w:trPr>
        <w:tc>
          <w:tcPr>
            <w:tcW w:w="1200" w:type="dxa"/>
            <w:noWrap/>
            <w:vAlign w:val="center"/>
            <w:hideMark/>
          </w:tcPr>
          <w:p w:rsidR="00541F6D" w:rsidRPr="00CC14B9" w:rsidRDefault="00541F6D" w:rsidP="008F31BA">
            <w:pPr>
              <w:jc w:val="center"/>
            </w:pPr>
            <w:r w:rsidRPr="00CC14B9">
              <w:t>SI</w:t>
            </w:r>
          </w:p>
        </w:tc>
        <w:tc>
          <w:tcPr>
            <w:tcW w:w="1200" w:type="dxa"/>
            <w:noWrap/>
            <w:vAlign w:val="center"/>
            <w:hideMark/>
          </w:tcPr>
          <w:p w:rsidR="00541F6D" w:rsidRPr="00CC14B9" w:rsidRDefault="00541F6D" w:rsidP="008F31BA">
            <w:pPr>
              <w:jc w:val="center"/>
            </w:pPr>
            <w:r w:rsidRPr="00CC14B9">
              <w:t>72%</w:t>
            </w:r>
          </w:p>
        </w:tc>
        <w:tc>
          <w:tcPr>
            <w:tcW w:w="1200" w:type="dxa"/>
            <w:noWrap/>
            <w:vAlign w:val="center"/>
            <w:hideMark/>
          </w:tcPr>
          <w:p w:rsidR="00541F6D" w:rsidRPr="00CC14B9" w:rsidRDefault="00541F6D" w:rsidP="008F31BA">
            <w:pPr>
              <w:jc w:val="center"/>
            </w:pPr>
            <w:r w:rsidRPr="00CC14B9">
              <w:t>64%</w:t>
            </w:r>
          </w:p>
        </w:tc>
        <w:tc>
          <w:tcPr>
            <w:tcW w:w="1200" w:type="dxa"/>
            <w:noWrap/>
            <w:vAlign w:val="center"/>
            <w:hideMark/>
          </w:tcPr>
          <w:p w:rsidR="00541F6D" w:rsidRPr="00CC14B9" w:rsidRDefault="00541F6D" w:rsidP="008F31BA">
            <w:pPr>
              <w:jc w:val="center"/>
            </w:pPr>
            <w:r w:rsidRPr="00CC14B9">
              <w:t>61%</w:t>
            </w:r>
          </w:p>
        </w:tc>
        <w:tc>
          <w:tcPr>
            <w:tcW w:w="1200" w:type="dxa"/>
            <w:noWrap/>
            <w:vAlign w:val="center"/>
            <w:hideMark/>
          </w:tcPr>
          <w:p w:rsidR="00541F6D" w:rsidRPr="00CC14B9" w:rsidRDefault="00541F6D" w:rsidP="008F31BA">
            <w:pPr>
              <w:jc w:val="center"/>
            </w:pPr>
            <w:r w:rsidRPr="00CC14B9">
              <w:t>51%</w:t>
            </w:r>
          </w:p>
        </w:tc>
        <w:tc>
          <w:tcPr>
            <w:tcW w:w="1200" w:type="dxa"/>
            <w:noWrap/>
            <w:vAlign w:val="center"/>
            <w:hideMark/>
          </w:tcPr>
          <w:p w:rsidR="00541F6D" w:rsidRPr="00CC14B9" w:rsidRDefault="00541F6D" w:rsidP="008F31BA">
            <w:pPr>
              <w:jc w:val="center"/>
            </w:pPr>
            <w:r w:rsidRPr="00CC14B9">
              <w:t>64%</w:t>
            </w:r>
          </w:p>
        </w:tc>
        <w:tc>
          <w:tcPr>
            <w:tcW w:w="1200" w:type="dxa"/>
            <w:noWrap/>
            <w:vAlign w:val="center"/>
            <w:hideMark/>
          </w:tcPr>
          <w:p w:rsidR="00541F6D" w:rsidRPr="00CC14B9" w:rsidRDefault="00541F6D" w:rsidP="008F31BA">
            <w:pPr>
              <w:jc w:val="center"/>
            </w:pPr>
            <w:r w:rsidRPr="00CC14B9">
              <w:t>63%</w:t>
            </w:r>
          </w:p>
        </w:tc>
        <w:tc>
          <w:tcPr>
            <w:tcW w:w="1200" w:type="dxa"/>
            <w:noWrap/>
            <w:vAlign w:val="center"/>
            <w:hideMark/>
          </w:tcPr>
          <w:p w:rsidR="00541F6D" w:rsidRPr="00CC14B9" w:rsidRDefault="00541F6D" w:rsidP="008F31BA">
            <w:pPr>
              <w:jc w:val="center"/>
            </w:pPr>
            <w:r w:rsidRPr="00CC14B9">
              <w:t>66%</w:t>
            </w:r>
          </w:p>
        </w:tc>
        <w:tc>
          <w:tcPr>
            <w:tcW w:w="1200" w:type="dxa"/>
            <w:noWrap/>
            <w:vAlign w:val="center"/>
            <w:hideMark/>
          </w:tcPr>
          <w:p w:rsidR="00541F6D" w:rsidRPr="00CC14B9" w:rsidRDefault="00541F6D" w:rsidP="008F31BA">
            <w:pPr>
              <w:jc w:val="center"/>
            </w:pPr>
            <w:r w:rsidRPr="00CC14B9">
              <w:t>59%</w:t>
            </w:r>
          </w:p>
        </w:tc>
      </w:tr>
      <w:tr w:rsidR="00541F6D" w:rsidRPr="00CC14B9" w:rsidTr="008F31BA">
        <w:trPr>
          <w:trHeight w:val="300"/>
        </w:trPr>
        <w:tc>
          <w:tcPr>
            <w:tcW w:w="1200" w:type="dxa"/>
            <w:noWrap/>
            <w:vAlign w:val="center"/>
            <w:hideMark/>
          </w:tcPr>
          <w:p w:rsidR="00541F6D" w:rsidRPr="00CC14B9" w:rsidRDefault="00541F6D" w:rsidP="008F31BA">
            <w:pPr>
              <w:jc w:val="center"/>
            </w:pPr>
            <w:r w:rsidRPr="00CC14B9">
              <w:t>NO</w:t>
            </w:r>
          </w:p>
        </w:tc>
        <w:tc>
          <w:tcPr>
            <w:tcW w:w="1200" w:type="dxa"/>
            <w:noWrap/>
            <w:vAlign w:val="center"/>
            <w:hideMark/>
          </w:tcPr>
          <w:p w:rsidR="00541F6D" w:rsidRPr="00CC14B9" w:rsidRDefault="00541F6D" w:rsidP="008F31BA">
            <w:pPr>
              <w:jc w:val="center"/>
            </w:pPr>
            <w:r w:rsidRPr="00CC14B9">
              <w:t>28%</w:t>
            </w:r>
          </w:p>
        </w:tc>
        <w:tc>
          <w:tcPr>
            <w:tcW w:w="1200" w:type="dxa"/>
            <w:noWrap/>
            <w:vAlign w:val="center"/>
            <w:hideMark/>
          </w:tcPr>
          <w:p w:rsidR="00541F6D" w:rsidRPr="00CC14B9" w:rsidRDefault="00541F6D" w:rsidP="008F31BA">
            <w:pPr>
              <w:jc w:val="center"/>
            </w:pPr>
            <w:r w:rsidRPr="00CC14B9">
              <w:t>36%</w:t>
            </w:r>
          </w:p>
        </w:tc>
        <w:tc>
          <w:tcPr>
            <w:tcW w:w="1200" w:type="dxa"/>
            <w:noWrap/>
            <w:vAlign w:val="center"/>
            <w:hideMark/>
          </w:tcPr>
          <w:p w:rsidR="00541F6D" w:rsidRPr="00CC14B9" w:rsidRDefault="00541F6D" w:rsidP="008F31BA">
            <w:pPr>
              <w:jc w:val="center"/>
            </w:pPr>
            <w:r w:rsidRPr="00CC14B9">
              <w:t>39%</w:t>
            </w:r>
          </w:p>
        </w:tc>
        <w:tc>
          <w:tcPr>
            <w:tcW w:w="1200" w:type="dxa"/>
            <w:noWrap/>
            <w:vAlign w:val="center"/>
            <w:hideMark/>
          </w:tcPr>
          <w:p w:rsidR="00541F6D" w:rsidRPr="00CC14B9" w:rsidRDefault="00541F6D" w:rsidP="008F31BA">
            <w:pPr>
              <w:jc w:val="center"/>
            </w:pPr>
            <w:r w:rsidRPr="00CC14B9">
              <w:t>49%</w:t>
            </w:r>
          </w:p>
        </w:tc>
        <w:tc>
          <w:tcPr>
            <w:tcW w:w="1200" w:type="dxa"/>
            <w:noWrap/>
            <w:vAlign w:val="center"/>
            <w:hideMark/>
          </w:tcPr>
          <w:p w:rsidR="00541F6D" w:rsidRPr="00CC14B9" w:rsidRDefault="00541F6D" w:rsidP="008F31BA">
            <w:pPr>
              <w:jc w:val="center"/>
            </w:pPr>
            <w:r w:rsidRPr="00CC14B9">
              <w:t>36%</w:t>
            </w:r>
          </w:p>
        </w:tc>
        <w:tc>
          <w:tcPr>
            <w:tcW w:w="1200" w:type="dxa"/>
            <w:noWrap/>
            <w:vAlign w:val="center"/>
            <w:hideMark/>
          </w:tcPr>
          <w:p w:rsidR="00541F6D" w:rsidRPr="00CC14B9" w:rsidRDefault="00541F6D" w:rsidP="008F31BA">
            <w:pPr>
              <w:jc w:val="center"/>
            </w:pPr>
            <w:r w:rsidRPr="00CC14B9">
              <w:t>37%</w:t>
            </w:r>
          </w:p>
        </w:tc>
        <w:tc>
          <w:tcPr>
            <w:tcW w:w="1200" w:type="dxa"/>
            <w:noWrap/>
            <w:vAlign w:val="center"/>
            <w:hideMark/>
          </w:tcPr>
          <w:p w:rsidR="00541F6D" w:rsidRPr="00CC14B9" w:rsidRDefault="00541F6D" w:rsidP="008F31BA">
            <w:pPr>
              <w:jc w:val="center"/>
            </w:pPr>
            <w:r w:rsidRPr="00CC14B9">
              <w:t>34%</w:t>
            </w:r>
          </w:p>
        </w:tc>
        <w:tc>
          <w:tcPr>
            <w:tcW w:w="1200" w:type="dxa"/>
            <w:noWrap/>
            <w:vAlign w:val="center"/>
            <w:hideMark/>
          </w:tcPr>
          <w:p w:rsidR="00541F6D" w:rsidRPr="00CC14B9" w:rsidRDefault="00541F6D" w:rsidP="008F31BA">
            <w:pPr>
              <w:jc w:val="center"/>
            </w:pPr>
            <w:r w:rsidRPr="00CC14B9">
              <w:t>41%</w:t>
            </w:r>
          </w:p>
        </w:tc>
      </w:tr>
    </w:tbl>
    <w:p w:rsidR="00541F6D" w:rsidRDefault="00541F6D" w:rsidP="00541F6D">
      <w:pPr>
        <w:jc w:val="both"/>
      </w:pPr>
    </w:p>
    <w:p w:rsidR="00541F6D" w:rsidRDefault="00541F6D" w:rsidP="00541F6D">
      <w:pPr>
        <w:jc w:val="both"/>
        <w:rPr>
          <w:rFonts w:asciiTheme="majorHAnsi" w:hAnsiTheme="majorHAnsi" w:cstheme="majorHAnsi"/>
          <w:color w:val="4472C4" w:themeColor="accent1"/>
        </w:rPr>
      </w:pPr>
      <w:r>
        <w:rPr>
          <w:rFonts w:asciiTheme="majorHAnsi" w:hAnsiTheme="majorHAnsi" w:cstheme="majorHAnsi"/>
          <w:color w:val="4472C4" w:themeColor="accent1"/>
        </w:rPr>
        <w:t xml:space="preserve">Tipo de gráfica: gráfico de barras 100% apilada que refleje la evolución por años de las dos respuestas (combinadas las dos en 1 gráfica) a la pregunta de la EPC: </w:t>
      </w:r>
      <w:r w:rsidRPr="00CC14B9">
        <w:rPr>
          <w:rFonts w:asciiTheme="majorHAnsi" w:hAnsiTheme="majorHAnsi" w:cstheme="majorHAnsi"/>
          <w:color w:val="4472C4" w:themeColor="accent1"/>
        </w:rPr>
        <w:t>¿Usted siente que en la ciudad se le está garantizando el derecho a la salud?</w:t>
      </w:r>
    </w:p>
    <w:p w:rsidR="00541F6D" w:rsidRPr="00634296" w:rsidRDefault="00541F6D" w:rsidP="00541F6D">
      <w:pPr>
        <w:jc w:val="both"/>
      </w:pPr>
    </w:p>
    <w:p w:rsidR="00CD6A32" w:rsidRDefault="00CD6A32" w:rsidP="00CD6A32">
      <w:pPr>
        <w:pStyle w:val="Ttulo1"/>
      </w:pPr>
      <w:r>
        <w:t>MOVILIDAD VIAL</w:t>
      </w:r>
    </w:p>
    <w:p w:rsidR="00CD6A32" w:rsidRPr="00E86D5A" w:rsidRDefault="00CD6A32" w:rsidP="00CD6A32">
      <w:pPr>
        <w:pStyle w:val="Ttulo2"/>
      </w:pPr>
      <w:r>
        <w:t>AUNQUE MEJORA EN SEGURIDAD VIAL, MEDELLÍN ESTÁ LEJOS DE LA VISIÓN CERO.</w:t>
      </w:r>
    </w:p>
    <w:p w:rsidR="00CD6A32" w:rsidRDefault="00CD6A32" w:rsidP="00CD6A32">
      <w:pPr>
        <w:jc w:val="both"/>
        <w:rPr>
          <w:rFonts w:asciiTheme="majorHAnsi" w:hAnsiTheme="majorHAnsi" w:cstheme="majorHAnsi"/>
        </w:rPr>
      </w:pPr>
    </w:p>
    <w:p w:rsidR="00CD6A32" w:rsidRDefault="00CD6A32" w:rsidP="00CD6A32">
      <w:pPr>
        <w:jc w:val="both"/>
        <w:rPr>
          <w:rFonts w:asciiTheme="majorHAnsi" w:hAnsiTheme="majorHAnsi" w:cstheme="majorHAnsi"/>
        </w:rPr>
      </w:pPr>
      <w:r>
        <w:rPr>
          <w:rFonts w:asciiTheme="majorHAnsi" w:hAnsiTheme="majorHAnsi" w:cstheme="majorHAnsi"/>
        </w:rPr>
        <w:t xml:space="preserve">La tasa de mortalidad en accidentes de tránsito en Medellín se ha reducido en los últimos años. De 14.3 muertos por cada cien mil habitantes en 2008, la ciudad pasó a tener 11.1 muertos por cada cien mil habitantes en 2015 y 10.9 en 2016. En términos absolutos, el número de muertos en accidentes de tránsito ha bajado de 327 en 2008 a 274 en 2015 y 270 en 2016. Esta reducción, de 31% en la tasa de mortalidad y de 21% en el número de muertes en accidentes de tránsito entre 2008 y 2016, es significativa, pero todavía deja a la ciudad lejos de la visión cero (cero muertes en accidentes de tránsito) en materia de seguridad vial. </w:t>
      </w:r>
    </w:p>
    <w:p w:rsidR="00CD6A32" w:rsidRDefault="00CD6A32" w:rsidP="00CD6A32">
      <w:pPr>
        <w:jc w:val="both"/>
        <w:rPr>
          <w:rFonts w:asciiTheme="majorHAnsi" w:hAnsiTheme="majorHAnsi" w:cstheme="majorHAnsi"/>
        </w:rPr>
      </w:pPr>
      <w:r>
        <w:rPr>
          <w:rFonts w:asciiTheme="majorHAnsi" w:hAnsiTheme="majorHAnsi" w:cstheme="majorHAnsi"/>
        </w:rPr>
        <w:t xml:space="preserve">Las principales víctimas fatales de accidentes de tránsito en Medellín son los peatones, con el 47% en 2016, seguidos por los motociclistas, con el 37% en el mismo año. Precisamente estos grupos poblacionales son los que requieren en mayor medida intervenciones específicas en materia de seguridad vial. </w:t>
      </w:r>
    </w:p>
    <w:tbl>
      <w:tblPr>
        <w:tblStyle w:val="Tablaconcuadrcula"/>
        <w:tblpPr w:leftFromText="141" w:rightFromText="141" w:vertAnchor="text" w:horzAnchor="margin" w:tblpY="24"/>
        <w:tblW w:w="0" w:type="auto"/>
        <w:tblInd w:w="0" w:type="dxa"/>
        <w:tblLook w:val="04A0" w:firstRow="1" w:lastRow="0" w:firstColumn="1" w:lastColumn="0" w:noHBand="0" w:noVBand="1"/>
      </w:tblPr>
      <w:tblGrid>
        <w:gridCol w:w="3220"/>
        <w:gridCol w:w="4168"/>
        <w:gridCol w:w="1440"/>
      </w:tblGrid>
      <w:tr w:rsidR="00CD6A32" w:rsidRPr="004A2BBF" w:rsidTr="0081712C">
        <w:trPr>
          <w:trHeight w:val="255"/>
        </w:trPr>
        <w:tc>
          <w:tcPr>
            <w:tcW w:w="3220" w:type="dxa"/>
            <w:noWrap/>
            <w:hideMark/>
          </w:tcPr>
          <w:p w:rsidR="00CD6A32" w:rsidRPr="004A2BBF" w:rsidRDefault="00CD6A32" w:rsidP="0081712C">
            <w:pPr>
              <w:jc w:val="both"/>
              <w:rPr>
                <w:rFonts w:asciiTheme="majorHAnsi" w:hAnsiTheme="majorHAnsi" w:cstheme="majorHAnsi"/>
                <w:b/>
                <w:bCs/>
              </w:rPr>
            </w:pPr>
          </w:p>
        </w:tc>
        <w:tc>
          <w:tcPr>
            <w:tcW w:w="4168" w:type="dxa"/>
            <w:hideMark/>
          </w:tcPr>
          <w:p w:rsidR="00CD6A32" w:rsidRPr="004A2BBF" w:rsidRDefault="00CD6A32" w:rsidP="0081712C">
            <w:pPr>
              <w:jc w:val="both"/>
              <w:rPr>
                <w:rFonts w:asciiTheme="majorHAnsi" w:hAnsiTheme="majorHAnsi" w:cstheme="majorHAnsi"/>
                <w:b/>
                <w:bCs/>
              </w:rPr>
            </w:pPr>
            <w:r>
              <w:rPr>
                <w:rFonts w:asciiTheme="majorHAnsi" w:hAnsiTheme="majorHAnsi" w:cstheme="majorHAnsi"/>
                <w:b/>
                <w:bCs/>
              </w:rPr>
              <w:t>Variables</w:t>
            </w:r>
            <w:r w:rsidRPr="004A2BBF">
              <w:rPr>
                <w:rFonts w:asciiTheme="majorHAnsi" w:hAnsiTheme="majorHAnsi" w:cstheme="majorHAnsi"/>
                <w:b/>
                <w:bCs/>
              </w:rPr>
              <w:t xml:space="preserve"> </w:t>
            </w:r>
          </w:p>
        </w:tc>
        <w:tc>
          <w:tcPr>
            <w:tcW w:w="1440" w:type="dxa"/>
            <w:noWrap/>
            <w:hideMark/>
          </w:tcPr>
          <w:p w:rsidR="00CD6A32" w:rsidRPr="004A2BBF" w:rsidRDefault="00CD6A32" w:rsidP="0081712C">
            <w:pPr>
              <w:jc w:val="both"/>
              <w:rPr>
                <w:rFonts w:asciiTheme="majorHAnsi" w:hAnsiTheme="majorHAnsi" w:cstheme="majorHAnsi"/>
                <w:b/>
                <w:bCs/>
              </w:rPr>
            </w:pPr>
            <w:r w:rsidRPr="004A2BBF">
              <w:rPr>
                <w:rFonts w:asciiTheme="majorHAnsi" w:hAnsiTheme="majorHAnsi" w:cstheme="majorHAnsi"/>
                <w:b/>
                <w:bCs/>
              </w:rPr>
              <w:t>2016</w:t>
            </w:r>
          </w:p>
        </w:tc>
      </w:tr>
      <w:tr w:rsidR="00CD6A32" w:rsidRPr="004A2BBF" w:rsidTr="0081712C">
        <w:trPr>
          <w:trHeight w:val="255"/>
        </w:trPr>
        <w:tc>
          <w:tcPr>
            <w:tcW w:w="3220" w:type="dxa"/>
            <w:noWrap/>
            <w:hideMark/>
          </w:tcPr>
          <w:p w:rsidR="00CD6A32" w:rsidRPr="004A2BBF" w:rsidRDefault="00CD6A32" w:rsidP="0081712C">
            <w:pPr>
              <w:jc w:val="both"/>
              <w:rPr>
                <w:rFonts w:asciiTheme="majorHAnsi" w:hAnsiTheme="majorHAnsi" w:cstheme="majorHAnsi"/>
              </w:rPr>
            </w:pPr>
            <w:r w:rsidRPr="004A2BBF">
              <w:rPr>
                <w:rFonts w:asciiTheme="majorHAnsi" w:hAnsiTheme="majorHAnsi" w:cstheme="majorHAnsi"/>
              </w:rPr>
              <w:t>Indicador 1</w:t>
            </w:r>
          </w:p>
        </w:tc>
        <w:tc>
          <w:tcPr>
            <w:tcW w:w="4168" w:type="dxa"/>
            <w:hideMark/>
          </w:tcPr>
          <w:p w:rsidR="00CD6A32" w:rsidRPr="004A2BBF" w:rsidRDefault="00CD6A32" w:rsidP="0081712C">
            <w:pPr>
              <w:jc w:val="both"/>
              <w:rPr>
                <w:rFonts w:asciiTheme="majorHAnsi" w:hAnsiTheme="majorHAnsi" w:cstheme="majorHAnsi"/>
              </w:rPr>
            </w:pPr>
            <w:r>
              <w:rPr>
                <w:rFonts w:asciiTheme="majorHAnsi" w:hAnsiTheme="majorHAnsi" w:cstheme="majorHAnsi"/>
              </w:rPr>
              <w:t xml:space="preserve">Tasa de mortalidad en accidentes de tránsito. Muertes en accidentes de tránsito por cada cien mil habitantes. </w:t>
            </w:r>
          </w:p>
        </w:tc>
        <w:tc>
          <w:tcPr>
            <w:tcW w:w="1440" w:type="dxa"/>
            <w:noWrap/>
            <w:hideMark/>
          </w:tcPr>
          <w:p w:rsidR="00CD6A32" w:rsidRPr="004A2BBF" w:rsidRDefault="00CD6A32" w:rsidP="0081712C">
            <w:pPr>
              <w:jc w:val="both"/>
              <w:rPr>
                <w:rFonts w:asciiTheme="majorHAnsi" w:hAnsiTheme="majorHAnsi" w:cstheme="majorHAnsi"/>
              </w:rPr>
            </w:pPr>
            <w:r>
              <w:rPr>
                <w:rFonts w:asciiTheme="majorHAnsi" w:hAnsiTheme="majorHAnsi" w:cstheme="majorHAnsi"/>
              </w:rPr>
              <w:t>10.9</w:t>
            </w:r>
          </w:p>
        </w:tc>
      </w:tr>
    </w:tbl>
    <w:p w:rsidR="00CD6A32" w:rsidRPr="00AA67DA" w:rsidRDefault="00CD6A32" w:rsidP="00CD6A32">
      <w:pPr>
        <w:jc w:val="both"/>
        <w:rPr>
          <w:rFonts w:asciiTheme="majorHAnsi" w:hAnsiTheme="majorHAnsi" w:cstheme="majorHAnsi"/>
          <w:color w:val="4472C4" w:themeColor="accent1"/>
        </w:rPr>
      </w:pPr>
      <w:r w:rsidRPr="00AA67DA">
        <w:rPr>
          <w:rFonts w:asciiTheme="majorHAnsi" w:hAnsiTheme="majorHAnsi" w:cstheme="majorHAnsi"/>
          <w:color w:val="4472C4" w:themeColor="accent1"/>
        </w:rPr>
        <w:t xml:space="preserve">Tipo de gráfica: </w:t>
      </w:r>
      <w:r>
        <w:rPr>
          <w:rFonts w:asciiTheme="majorHAnsi" w:hAnsiTheme="majorHAnsi" w:cstheme="majorHAnsi"/>
          <w:color w:val="4472C4" w:themeColor="accent1"/>
        </w:rPr>
        <w:t xml:space="preserve">línea que describa la evolución del indicador en el tiempo. </w:t>
      </w:r>
    </w:p>
    <w:p w:rsidR="00541F6D" w:rsidRDefault="00541F6D" w:rsidP="005963F8">
      <w:pPr>
        <w:pStyle w:val="Ttulo1"/>
        <w:rPr>
          <w:rFonts w:asciiTheme="minorHAnsi" w:hAnsiTheme="minorHAnsi" w:cstheme="minorHAnsi"/>
          <w:sz w:val="24"/>
          <w:szCs w:val="24"/>
        </w:rPr>
      </w:pPr>
    </w:p>
    <w:p w:rsidR="00541F6D" w:rsidRDefault="00541F6D" w:rsidP="005963F8">
      <w:pPr>
        <w:pStyle w:val="Ttulo1"/>
        <w:rPr>
          <w:rFonts w:asciiTheme="minorHAnsi" w:hAnsiTheme="minorHAnsi" w:cstheme="minorHAnsi"/>
          <w:sz w:val="24"/>
          <w:szCs w:val="24"/>
        </w:rPr>
      </w:pPr>
    </w:p>
    <w:p w:rsidR="00541F6D" w:rsidRDefault="00541F6D" w:rsidP="005963F8">
      <w:pPr>
        <w:pStyle w:val="Ttulo1"/>
        <w:rPr>
          <w:rFonts w:asciiTheme="minorHAnsi" w:hAnsiTheme="minorHAnsi" w:cstheme="minorHAnsi"/>
          <w:sz w:val="24"/>
          <w:szCs w:val="24"/>
        </w:rPr>
      </w:pPr>
    </w:p>
    <w:p w:rsidR="005963F8" w:rsidRPr="00C46C8E" w:rsidRDefault="005963F8" w:rsidP="005963F8">
      <w:pPr>
        <w:pStyle w:val="Ttulo1"/>
        <w:rPr>
          <w:rFonts w:asciiTheme="minorHAnsi" w:hAnsiTheme="minorHAnsi" w:cstheme="minorHAnsi"/>
          <w:sz w:val="24"/>
          <w:szCs w:val="24"/>
        </w:rPr>
      </w:pPr>
      <w:r w:rsidRPr="00C46C8E">
        <w:rPr>
          <w:rFonts w:asciiTheme="minorHAnsi" w:hAnsiTheme="minorHAnsi" w:cstheme="minorHAnsi"/>
          <w:sz w:val="24"/>
          <w:szCs w:val="24"/>
        </w:rPr>
        <w:t>FORTALECIMIENTO INSTITUCIONAL</w:t>
      </w:r>
    </w:p>
    <w:p w:rsidR="005963F8" w:rsidRPr="00C46C8E" w:rsidRDefault="005963F8" w:rsidP="006E0A80">
      <w:pPr>
        <w:autoSpaceDE w:val="0"/>
        <w:autoSpaceDN w:val="0"/>
        <w:adjustRightInd w:val="0"/>
        <w:spacing w:after="120"/>
        <w:jc w:val="both"/>
        <w:rPr>
          <w:rFonts w:cstheme="minorHAnsi"/>
          <w:bCs/>
          <w:kern w:val="24"/>
          <w:sz w:val="24"/>
          <w:szCs w:val="24"/>
        </w:rPr>
      </w:pPr>
    </w:p>
    <w:p w:rsidR="00E211B6" w:rsidRPr="00640A80" w:rsidRDefault="00E211B6" w:rsidP="005963F8">
      <w:pPr>
        <w:pStyle w:val="Ttulo2"/>
        <w:rPr>
          <w:rFonts w:asciiTheme="minorHAnsi" w:hAnsiTheme="minorHAnsi" w:cstheme="minorHAnsi"/>
          <w:b/>
          <w:i/>
          <w:sz w:val="24"/>
          <w:szCs w:val="24"/>
          <w:shd w:val="clear" w:color="auto" w:fill="FFFFFF"/>
        </w:rPr>
      </w:pPr>
      <w:r w:rsidRPr="00640A80">
        <w:rPr>
          <w:rFonts w:asciiTheme="minorHAnsi" w:hAnsiTheme="minorHAnsi" w:cstheme="minorHAnsi"/>
          <w:b/>
          <w:i/>
          <w:sz w:val="24"/>
          <w:szCs w:val="24"/>
          <w:shd w:val="clear" w:color="auto" w:fill="FFFFFF"/>
        </w:rPr>
        <w:lastRenderedPageBreak/>
        <w:t>Los recursos para inversión siguen estando por encima del 80%</w:t>
      </w:r>
    </w:p>
    <w:p w:rsidR="00E211B6" w:rsidRDefault="00E211B6" w:rsidP="005963F8">
      <w:pPr>
        <w:pStyle w:val="Ttulo2"/>
        <w:rPr>
          <w:rFonts w:asciiTheme="minorHAnsi" w:hAnsiTheme="minorHAnsi" w:cstheme="minorHAnsi"/>
          <w:sz w:val="24"/>
          <w:szCs w:val="24"/>
          <w:shd w:val="clear" w:color="auto" w:fill="FFFFFF"/>
        </w:rPr>
      </w:pPr>
    </w:p>
    <w:p w:rsidR="005963F8" w:rsidRPr="00C46C8E" w:rsidRDefault="005963F8" w:rsidP="005963F8">
      <w:pPr>
        <w:pStyle w:val="Ttulo2"/>
        <w:rPr>
          <w:rFonts w:asciiTheme="minorHAnsi" w:eastAsia="Times New Roman" w:hAnsiTheme="minorHAnsi" w:cstheme="minorHAnsi"/>
          <w:sz w:val="24"/>
          <w:szCs w:val="24"/>
          <w:lang w:eastAsia="es-CO"/>
        </w:rPr>
      </w:pPr>
      <w:r w:rsidRPr="00C46C8E">
        <w:rPr>
          <w:rFonts w:asciiTheme="minorHAnsi" w:hAnsiTheme="minorHAnsi" w:cstheme="minorHAnsi"/>
          <w:sz w:val="24"/>
          <w:szCs w:val="24"/>
          <w:shd w:val="clear" w:color="auto" w:fill="FFFFFF"/>
        </w:rPr>
        <w:t>Gasto inversión como porcentaje del gasto total</w:t>
      </w:r>
      <w:r w:rsidRPr="00C46C8E">
        <w:rPr>
          <w:rFonts w:asciiTheme="minorHAnsi" w:eastAsia="Times New Roman" w:hAnsiTheme="minorHAnsi" w:cstheme="minorHAnsi"/>
          <w:sz w:val="24"/>
          <w:szCs w:val="24"/>
          <w:lang w:eastAsia="es-CO"/>
        </w:rPr>
        <w:t> </w:t>
      </w:r>
    </w:p>
    <w:p w:rsidR="00C933B0" w:rsidRPr="00C46C8E" w:rsidRDefault="00C933B0" w:rsidP="006E0A80">
      <w:pPr>
        <w:autoSpaceDE w:val="0"/>
        <w:autoSpaceDN w:val="0"/>
        <w:adjustRightInd w:val="0"/>
        <w:spacing w:after="120"/>
        <w:jc w:val="both"/>
        <w:rPr>
          <w:rFonts w:cstheme="minorHAnsi"/>
          <w:sz w:val="24"/>
          <w:szCs w:val="24"/>
        </w:rPr>
      </w:pPr>
    </w:p>
    <w:p w:rsidR="006E0A80" w:rsidRPr="00C46C8E" w:rsidRDefault="00C933B0" w:rsidP="006E0A80">
      <w:pPr>
        <w:autoSpaceDE w:val="0"/>
        <w:autoSpaceDN w:val="0"/>
        <w:adjustRightInd w:val="0"/>
        <w:spacing w:after="120"/>
        <w:jc w:val="both"/>
        <w:rPr>
          <w:rFonts w:cstheme="minorHAnsi"/>
          <w:sz w:val="24"/>
          <w:szCs w:val="24"/>
        </w:rPr>
      </w:pPr>
      <w:r w:rsidRPr="00C46C8E">
        <w:rPr>
          <w:rFonts w:cstheme="minorHAnsi"/>
          <w:sz w:val="24"/>
          <w:szCs w:val="24"/>
        </w:rPr>
        <w:t>Tanto la inversión como los gastos totales   mostraron un comportamiento creciente entre 2008 y 2011, a 2012 bajan ambos indicadores, para luego crecer en 2013 y presentar los valores máximos de la serie en 2014 cuando entraron los recursos extraordinarios por la venta de acciones de UNE. A partir de allí, tanto los ingresos como los gastos de inversión vienen en descenso, ubicándose en 2016 en el caso de los recursos de inversión en un nivel más cercano al del año 2009, mientras que, en el caso de los gastos totales, se asemejaron más al del año 2010. En este orden de ideas, lo relacionado con la inversión en 2016, refleja un retroceso de casi siete años para la ciudad.</w:t>
      </w:r>
    </w:p>
    <w:p w:rsidR="00C46C8E" w:rsidRPr="00C46C8E" w:rsidRDefault="00C46C8E" w:rsidP="006E0A80">
      <w:pPr>
        <w:autoSpaceDE w:val="0"/>
        <w:autoSpaceDN w:val="0"/>
        <w:adjustRightInd w:val="0"/>
        <w:spacing w:after="120"/>
        <w:jc w:val="both"/>
        <w:rPr>
          <w:rFonts w:cstheme="minorHAnsi"/>
          <w:bCs/>
          <w:kern w:val="24"/>
          <w:sz w:val="24"/>
          <w:szCs w:val="24"/>
        </w:rPr>
      </w:pPr>
      <w:r w:rsidRPr="00C46C8E">
        <w:rPr>
          <w:rFonts w:cstheme="minorHAnsi"/>
          <w:bCs/>
          <w:kern w:val="24"/>
          <w:sz w:val="24"/>
          <w:szCs w:val="24"/>
        </w:rPr>
        <w:t>Esto significó que los</w:t>
      </w:r>
      <w:r w:rsidRPr="00C46C8E">
        <w:rPr>
          <w:rFonts w:cstheme="minorHAnsi"/>
          <w:sz w:val="24"/>
          <w:szCs w:val="24"/>
        </w:rPr>
        <w:t xml:space="preserve"> gastos de inversión</w:t>
      </w:r>
      <w:r w:rsidRPr="00C46C8E">
        <w:rPr>
          <w:rStyle w:val="Refdenotaalpie"/>
          <w:rFonts w:cstheme="minorHAnsi"/>
          <w:sz w:val="24"/>
          <w:szCs w:val="24"/>
        </w:rPr>
        <w:footnoteReference w:id="4"/>
      </w:r>
      <w:r w:rsidRPr="00C46C8E">
        <w:rPr>
          <w:rFonts w:cstheme="minorHAnsi"/>
          <w:sz w:val="24"/>
          <w:szCs w:val="24"/>
        </w:rPr>
        <w:t xml:space="preserve"> sobre los gastos totales mostró una reducción apreciable en 2016 en relación con 2015 y, en general, con el promedio del periodo 2012-2016 al ubicarse en 80,2%, 4,8 puntos porcentuales -pp- menos en relación con 2015, y 4,9 pp menos en relación con el promedio.</w:t>
      </w:r>
    </w:p>
    <w:p w:rsidR="006E0A80" w:rsidRPr="00C46C8E" w:rsidRDefault="00640A80" w:rsidP="006E0A80">
      <w:pPr>
        <w:jc w:val="both"/>
        <w:rPr>
          <w:rFonts w:cstheme="minorHAnsi"/>
          <w:sz w:val="24"/>
          <w:szCs w:val="24"/>
        </w:rPr>
      </w:pPr>
      <w:r>
        <w:rPr>
          <w:rFonts w:cstheme="minorHAnsi"/>
          <w:sz w:val="24"/>
          <w:szCs w:val="24"/>
        </w:rPr>
        <w:t>Tipo de gráfico: línea de tendencia.</w:t>
      </w:r>
    </w:p>
    <w:sectPr w:rsidR="006E0A80" w:rsidRPr="00C46C8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016B" w:rsidRDefault="00EE016B" w:rsidP="00AA2F3A">
      <w:pPr>
        <w:spacing w:after="0" w:line="240" w:lineRule="auto"/>
      </w:pPr>
      <w:r>
        <w:separator/>
      </w:r>
    </w:p>
  </w:endnote>
  <w:endnote w:type="continuationSeparator" w:id="0">
    <w:p w:rsidR="00EE016B" w:rsidRDefault="00EE016B" w:rsidP="00AA2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016B" w:rsidRDefault="00EE016B" w:rsidP="00AA2F3A">
      <w:pPr>
        <w:spacing w:after="0" w:line="240" w:lineRule="auto"/>
      </w:pPr>
      <w:r>
        <w:separator/>
      </w:r>
    </w:p>
  </w:footnote>
  <w:footnote w:type="continuationSeparator" w:id="0">
    <w:p w:rsidR="00EE016B" w:rsidRDefault="00EE016B" w:rsidP="00AA2F3A">
      <w:pPr>
        <w:spacing w:after="0" w:line="240" w:lineRule="auto"/>
      </w:pPr>
      <w:r>
        <w:continuationSeparator/>
      </w:r>
    </w:p>
  </w:footnote>
  <w:footnote w:id="1">
    <w:p w:rsidR="00AA2F3A" w:rsidRDefault="00AA2F3A" w:rsidP="00AA2F3A">
      <w:pPr>
        <w:pStyle w:val="Textonotapie"/>
      </w:pPr>
      <w:r>
        <w:rPr>
          <w:rStyle w:val="Refdenotaalpie"/>
        </w:rPr>
        <w:footnoteRef/>
      </w:r>
      <w:r>
        <w:t xml:space="preserve"> MEN (2015) </w:t>
      </w:r>
      <w:r w:rsidR="007D37B0">
        <w:t>“Características</w:t>
      </w:r>
      <w:r>
        <w:t xml:space="preserve"> de la educación media, graduación, habilidades socioemocionales y la visión del sector empresarial”. C</w:t>
      </w:r>
      <w:r w:rsidR="007D37B0">
        <w:t>o</w:t>
      </w:r>
      <w:r>
        <w:t xml:space="preserve">nvenio 1109 MEN-Uniandes </w:t>
      </w:r>
      <w:r w:rsidR="007D37B0">
        <w:t xml:space="preserve">(2016) Convenio 840 MEN- Uniandes- </w:t>
      </w:r>
      <w:proofErr w:type="spellStart"/>
      <w:r w:rsidR="007D37B0">
        <w:t>Uexternado</w:t>
      </w:r>
      <w:proofErr w:type="spellEnd"/>
      <w:r w:rsidR="007D37B0">
        <w:t>-UNAL (2015).</w:t>
      </w:r>
    </w:p>
  </w:footnote>
  <w:footnote w:id="2">
    <w:p w:rsidR="007D37B0" w:rsidRDefault="007D37B0" w:rsidP="00640A80">
      <w:pPr>
        <w:pStyle w:val="Textonotapie"/>
        <w:jc w:val="both"/>
      </w:pPr>
      <w:r>
        <w:rPr>
          <w:rStyle w:val="Refdenotaalpie"/>
        </w:rPr>
        <w:footnoteRef/>
      </w:r>
      <w:r>
        <w:t xml:space="preserve"> Se parte del supuesto que el mismo porcentaje de pobreza aplica solo para Medellín, pues el dato entregado por el DANE es consolidado para Medellín y su región metropolitana.</w:t>
      </w:r>
    </w:p>
  </w:footnote>
  <w:footnote w:id="3">
    <w:p w:rsidR="006E0A80" w:rsidRPr="00C3100F" w:rsidRDefault="006E0A80" w:rsidP="006E0A80">
      <w:pPr>
        <w:pStyle w:val="Textonotapie"/>
      </w:pPr>
      <w:r w:rsidRPr="000E6D7A">
        <w:rPr>
          <w:rStyle w:val="Refdenotaalpie"/>
          <w:rFonts w:cstheme="minorHAnsi"/>
        </w:rPr>
        <w:footnoteRef/>
      </w:r>
      <w:r w:rsidRPr="000E6D7A">
        <w:rPr>
          <w:rFonts w:cstheme="minorHAnsi"/>
        </w:rPr>
        <w:t xml:space="preserve"> Los estratos uno y dos se agrupan para dar cuenta del NSE bajo, los estratos 3 y 4 se agrupan para dar cuenta del NSE medio y los estratos 5 y 6 se agrupan para dar cuenta del NSE </w:t>
      </w:r>
      <w:r>
        <w:t>alto.</w:t>
      </w:r>
    </w:p>
  </w:footnote>
  <w:footnote w:id="4">
    <w:p w:rsidR="00C46C8E" w:rsidRPr="007742BD" w:rsidRDefault="00C46C8E" w:rsidP="00C46C8E">
      <w:pPr>
        <w:pStyle w:val="Textonotapie"/>
        <w:jc w:val="both"/>
        <w:rPr>
          <w:rFonts w:cstheme="minorHAnsi"/>
        </w:rPr>
      </w:pPr>
      <w:r w:rsidRPr="007742BD">
        <w:rPr>
          <w:rStyle w:val="Refdenotaalpie"/>
          <w:rFonts w:cstheme="minorHAnsi"/>
        </w:rPr>
        <w:footnoteRef/>
      </w:r>
      <w:r w:rsidRPr="007742BD">
        <w:rPr>
          <w:rFonts w:cstheme="minorHAnsi"/>
        </w:rPr>
        <w:t xml:space="preserve"> El DNP entiende la inversión como de dos tipos: </w:t>
      </w:r>
      <w:r w:rsidRPr="007742BD">
        <w:rPr>
          <w:rFonts w:eastAsiaTheme="minorHAnsi" w:cstheme="minorHAnsi"/>
          <w:lang w:eastAsia="en-US"/>
        </w:rPr>
        <w:t>formación bruta de capital fijo (incrementan el acervo de capital existente en la economía) e inversión social (incrementan el acervo de capital humano). La inversión social se relaciona con el gasto de personal, aportes patronales y contratos de prestación de servicios en los sectores sociales (tal como está definido en las leyes 715 de 2001 y 1176 de 2007), subsidios, capacitaciones, alimentación escolar, dotaciones de material educativo, programas de fomento y todos los demás que no impliquen formación bruta de capital fijo</w:t>
      </w:r>
      <w:r>
        <w:rPr>
          <w:rFonts w:eastAsiaTheme="minorHAnsi" w:cstheme="minorHAnsi"/>
          <w:lang w:eastAsia="en-US"/>
        </w:rPr>
        <w:t>. (DNP, 2014, p. 12).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3D8"/>
    <w:rsid w:val="000D38E7"/>
    <w:rsid w:val="00541F6D"/>
    <w:rsid w:val="005963F8"/>
    <w:rsid w:val="00640A80"/>
    <w:rsid w:val="006547CA"/>
    <w:rsid w:val="006E0A80"/>
    <w:rsid w:val="007D37B0"/>
    <w:rsid w:val="00A973D8"/>
    <w:rsid w:val="00AA2F3A"/>
    <w:rsid w:val="00B307D5"/>
    <w:rsid w:val="00B84558"/>
    <w:rsid w:val="00C46C8E"/>
    <w:rsid w:val="00C933B0"/>
    <w:rsid w:val="00CD6A32"/>
    <w:rsid w:val="00E211B6"/>
    <w:rsid w:val="00EE016B"/>
    <w:rsid w:val="00F233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004E6"/>
  <w15:chartTrackingRefBased/>
  <w15:docId w15:val="{2CBF5C81-CE10-4E9C-9BEB-6B85E5DB5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37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A2F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A2F3A"/>
    <w:rPr>
      <w:rFonts w:asciiTheme="majorHAnsi" w:eastAsiaTheme="majorEastAsia" w:hAnsiTheme="majorHAnsi" w:cstheme="majorBidi"/>
      <w:color w:val="2F5496" w:themeColor="accent1" w:themeShade="BF"/>
      <w:sz w:val="26"/>
      <w:szCs w:val="26"/>
    </w:rPr>
  </w:style>
  <w:style w:type="paragraph" w:styleId="Textonotapie">
    <w:name w:val="footnote text"/>
    <w:basedOn w:val="Normal"/>
    <w:link w:val="TextonotapieCar"/>
    <w:uiPriority w:val="99"/>
    <w:unhideWhenUsed/>
    <w:rsid w:val="00AA2F3A"/>
    <w:pPr>
      <w:spacing w:after="0" w:line="240" w:lineRule="auto"/>
    </w:pPr>
    <w:rPr>
      <w:rFonts w:eastAsiaTheme="minorEastAsia"/>
      <w:sz w:val="20"/>
      <w:szCs w:val="20"/>
      <w:lang w:eastAsia="es-CO"/>
    </w:rPr>
  </w:style>
  <w:style w:type="character" w:customStyle="1" w:styleId="TextonotapieCar">
    <w:name w:val="Texto nota pie Car"/>
    <w:basedOn w:val="Fuentedeprrafopredeter"/>
    <w:link w:val="Textonotapie"/>
    <w:uiPriority w:val="99"/>
    <w:rsid w:val="00AA2F3A"/>
    <w:rPr>
      <w:rFonts w:eastAsiaTheme="minorEastAsia"/>
      <w:sz w:val="20"/>
      <w:szCs w:val="20"/>
      <w:lang w:eastAsia="es-CO"/>
    </w:rPr>
  </w:style>
  <w:style w:type="character" w:styleId="Refdenotaalpie">
    <w:name w:val="footnote reference"/>
    <w:basedOn w:val="Fuentedeprrafopredeter"/>
    <w:uiPriority w:val="99"/>
    <w:unhideWhenUsed/>
    <w:rsid w:val="00AA2F3A"/>
    <w:rPr>
      <w:vertAlign w:val="superscript"/>
    </w:rPr>
  </w:style>
  <w:style w:type="character" w:customStyle="1" w:styleId="Ttulo1Car">
    <w:name w:val="Título 1 Car"/>
    <w:basedOn w:val="Fuentedeprrafopredeter"/>
    <w:link w:val="Ttulo1"/>
    <w:uiPriority w:val="9"/>
    <w:rsid w:val="007D37B0"/>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541F6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85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1512</Words>
  <Characters>8321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Piedad Restrepo</dc:creator>
  <cp:keywords/>
  <dc:description/>
  <cp:lastModifiedBy>Piedad Restrepo</cp:lastModifiedBy>
  <cp:revision>7</cp:revision>
  <dcterms:created xsi:type="dcterms:W3CDTF">2018-05-07T14:53:00Z</dcterms:created>
  <dcterms:modified xsi:type="dcterms:W3CDTF">2018-05-07T20:48:00Z</dcterms:modified>
</cp:coreProperties>
</file>