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69"/>
        <w:gridCol w:w="7937"/>
      </w:tblGrid>
      <w:tr>
        <w:tc>
          <w:tcPr>
            <w:tcW w:type="dxa" w:w="3969"/>
            <w:shd w:fill="1E2A3A" w:color="auto" w:val="clear"/>
            <w:tcMar>
              <w:top w:type="dxa" w:w="500"/>
              <w:left w:type="dxa" w:w="340"/>
              <w:bottom w:type="dxa" w:w="500"/>
              <w:right w:type="dxa" w:w="340"/>
            </w:tcMar>
            <w:vAlign w:val="top"/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JÉSSICA THAIS</w:t>
            </w:r>
          </w:p>
          <w:p>
            <w:pPr>
              <w:spacing w:after="160"/>
            </w:pPr>
            <w:r>
              <w:rPr>
                <w:rFonts w:ascii="Georgia" w:cs="Georgia" w:eastAsia="Georgia" w:hAnsi="Georgia"/>
                <w:b/>
                <w:bCs/>
                <w:color w:val="C9A15A"/>
                <w:sz w:val="34"/>
                <w:szCs w:val="34"/>
              </w:rPr>
              <w:t xml:space="preserve">BACCARO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color w:val="C7CDD6"/>
                <w:spacing w:val="10"/>
                <w:sz w:val="17"/>
                <w:szCs w:val="17"/>
              </w:rPr>
              <w:t xml:space="preserve">ANÁLISE E DESENVOLVIMENTO DE SISTEMAS</w:t>
            </w:r>
          </w:p>
          <w:p>
            <w:pPr>
              <w:pBdr>
                <w:bottom w:val="single" w:color="C9A15A" w:sz="4" w:space="4"/>
              </w:pBdr>
              <w:spacing w:after="120" w:before="260"/>
            </w:pPr>
            <w:r>
              <w:rPr>
                <w:rFonts w:ascii="Calibri" w:cs="Calibri" w:eastAsia="Calibri" w:hAnsi="Calibri"/>
                <w:b/>
                <w:bCs/>
                <w:color w:val="C9A15A"/>
                <w:spacing w:val="20"/>
                <w:sz w:val="18"/>
                <w:szCs w:val="18"/>
              </w:rPr>
              <w:t xml:space="preserve">CONTATO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color w:val="E7E9EC"/>
                <w:sz w:val="19"/>
                <w:szCs w:val="19"/>
              </w:rPr>
              <w:t xml:space="preserve">(11) 95343-6383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color w:val="E7E9EC"/>
                <w:sz w:val="19"/>
                <w:szCs w:val="19"/>
              </w:rPr>
              <w:t xml:space="preserve">Jtbaccaro.jb@gmail.com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color w:val="E7E9EC"/>
                <w:sz w:val="19"/>
                <w:szCs w:val="19"/>
              </w:rPr>
              <w:t xml:space="preserve">linkedin.com/in/baccarinha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color w:val="E7E9EC"/>
                <w:sz w:val="19"/>
                <w:szCs w:val="19"/>
              </w:rPr>
              <w:t xml:space="preserve">github.com/baccarinha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color w:val="E7E9EC"/>
                <w:sz w:val="19"/>
                <w:szCs w:val="19"/>
              </w:rPr>
              <w:t xml:space="preserve">Jundiaí – SP</w:t>
            </w:r>
          </w:p>
          <w:p>
            <w:pPr>
              <w:pBdr>
                <w:bottom w:val="single" w:color="C9A15A" w:sz="4" w:space="4"/>
              </w:pBdr>
              <w:spacing w:after="120" w:before="260"/>
            </w:pPr>
            <w:r>
              <w:rPr>
                <w:rFonts w:ascii="Calibri" w:cs="Calibri" w:eastAsia="Calibri" w:hAnsi="Calibri"/>
                <w:b/>
                <w:bCs/>
                <w:color w:val="C9A15A"/>
                <w:spacing w:val="20"/>
                <w:sz w:val="18"/>
                <w:szCs w:val="18"/>
              </w:rPr>
              <w:t xml:space="preserve">COMPETÊNCIAS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19"/>
                <w:szCs w:val="19"/>
              </w:rPr>
              <w:t xml:space="preserve">— </w:t>
            </w:r>
            <w:r>
              <w:rPr>
                <w:rFonts w:ascii="Calibri" w:cs="Calibri" w:eastAsia="Calibri" w:hAnsi="Calibri"/>
                <w:color w:val="E7E9EC"/>
                <w:sz w:val="19"/>
                <w:szCs w:val="19"/>
              </w:rPr>
              <w:t xml:space="preserve">Atendimento ao cliente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19"/>
                <w:szCs w:val="19"/>
              </w:rPr>
              <w:t xml:space="preserve">— </w:t>
            </w:r>
            <w:r>
              <w:rPr>
                <w:rFonts w:ascii="Calibri" w:cs="Calibri" w:eastAsia="Calibri" w:hAnsi="Calibri"/>
                <w:color w:val="E7E9EC"/>
                <w:sz w:val="19"/>
                <w:szCs w:val="19"/>
              </w:rPr>
              <w:t xml:space="preserve">Operação de caixa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19"/>
                <w:szCs w:val="19"/>
              </w:rPr>
              <w:t xml:space="preserve">— </w:t>
            </w:r>
            <w:r>
              <w:rPr>
                <w:rFonts w:ascii="Calibri" w:cs="Calibri" w:eastAsia="Calibri" w:hAnsi="Calibri"/>
                <w:color w:val="E7E9EC"/>
                <w:sz w:val="19"/>
                <w:szCs w:val="19"/>
              </w:rPr>
              <w:t xml:space="preserve">Tecnologia self-checkout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19"/>
                <w:szCs w:val="19"/>
              </w:rPr>
              <w:t xml:space="preserve">— </w:t>
            </w:r>
            <w:r>
              <w:rPr>
                <w:rFonts w:ascii="Calibri" w:cs="Calibri" w:eastAsia="Calibri" w:hAnsi="Calibri"/>
                <w:color w:val="E7E9EC"/>
                <w:sz w:val="19"/>
                <w:szCs w:val="19"/>
              </w:rPr>
              <w:t xml:space="preserve">Suporte técnico a sistemas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19"/>
                <w:szCs w:val="19"/>
              </w:rPr>
              <w:t xml:space="preserve">— </w:t>
            </w:r>
            <w:r>
              <w:rPr>
                <w:rFonts w:ascii="Calibri" w:cs="Calibri" w:eastAsia="Calibri" w:hAnsi="Calibri"/>
                <w:color w:val="E7E9EC"/>
                <w:sz w:val="19"/>
                <w:szCs w:val="19"/>
              </w:rPr>
              <w:t xml:space="preserve">Trabalho em equipe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19"/>
                <w:szCs w:val="19"/>
              </w:rPr>
              <w:t xml:space="preserve">— </w:t>
            </w:r>
            <w:r>
              <w:rPr>
                <w:rFonts w:ascii="Calibri" w:cs="Calibri" w:eastAsia="Calibri" w:hAnsi="Calibri"/>
                <w:color w:val="E7E9EC"/>
                <w:sz w:val="19"/>
                <w:szCs w:val="19"/>
              </w:rPr>
              <w:t xml:space="preserve">Organização e controle de processos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19"/>
                <w:szCs w:val="19"/>
              </w:rPr>
              <w:t xml:space="preserve">— </w:t>
            </w:r>
            <w:r>
              <w:rPr>
                <w:rFonts w:ascii="Calibri" w:cs="Calibri" w:eastAsia="Calibri" w:hAnsi="Calibri"/>
                <w:color w:val="E7E9EC"/>
                <w:sz w:val="19"/>
                <w:szCs w:val="19"/>
              </w:rPr>
              <w:t xml:space="preserve">Foco em resultados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19"/>
                <w:szCs w:val="19"/>
              </w:rPr>
              <w:t xml:space="preserve">— </w:t>
            </w:r>
            <w:r>
              <w:rPr>
                <w:rFonts w:ascii="Calibri" w:cs="Calibri" w:eastAsia="Calibri" w:hAnsi="Calibri"/>
                <w:color w:val="E7E9EC"/>
                <w:sz w:val="19"/>
                <w:szCs w:val="19"/>
              </w:rPr>
              <w:t xml:space="preserve">Análise de sistemas</w:t>
            </w:r>
          </w:p>
          <w:p>
            <w:pPr>
              <w:pBdr>
                <w:bottom w:val="single" w:color="C9A15A" w:sz="4" w:space="4"/>
              </w:pBdr>
              <w:spacing w:after="120" w:before="260"/>
            </w:pPr>
            <w:r>
              <w:rPr>
                <w:rFonts w:ascii="Calibri" w:cs="Calibri" w:eastAsia="Calibri" w:hAnsi="Calibri"/>
                <w:b/>
                <w:bCs/>
                <w:color w:val="C9A15A"/>
                <w:spacing w:val="20"/>
                <w:sz w:val="18"/>
                <w:szCs w:val="18"/>
              </w:rPr>
              <w:t xml:space="preserve">FORMAÇÃO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E7E9EC"/>
                <w:sz w:val="19"/>
                <w:szCs w:val="19"/>
              </w:rPr>
              <w:t xml:space="preserve">Análise e Desenvolvimento de Sistemas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color w:val="E7E9EC"/>
                <w:sz w:val="18"/>
                <w:szCs w:val="18"/>
              </w:rPr>
              <w:t xml:space="preserve">Faculdade Anchieta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color w:val="AEB6C2"/>
                <w:sz w:val="18"/>
                <w:szCs w:val="18"/>
              </w:rPr>
              <w:t xml:space="preserve">3º semestre — trancado</w:t>
            </w:r>
          </w:p>
          <w:p>
            <w:pPr>
              <w:pBdr>
                <w:bottom w:val="single" w:color="C9A15A" w:sz="4" w:space="4"/>
              </w:pBdr>
              <w:spacing w:after="120" w:before="260"/>
            </w:pPr>
            <w:r>
              <w:rPr>
                <w:rFonts w:ascii="Calibri" w:cs="Calibri" w:eastAsia="Calibri" w:hAnsi="Calibri"/>
                <w:b/>
                <w:bCs/>
                <w:color w:val="C9A15A"/>
                <w:spacing w:val="20"/>
                <w:sz w:val="18"/>
                <w:szCs w:val="18"/>
              </w:rPr>
              <w:t xml:space="preserve">IDIOMAS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color w:val="E7E9EC"/>
                <w:sz w:val="18"/>
                <w:szCs w:val="18"/>
              </w:rPr>
              <w:t xml:space="preserve">Português — Nativo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 w:val="false"/>
                <w:bCs w:val="false"/>
                <w:color w:val="E7E9EC"/>
                <w:sz w:val="18"/>
                <w:szCs w:val="18"/>
              </w:rPr>
              <w:t xml:space="preserve">Inglês — Técnico</w:t>
            </w:r>
          </w:p>
        </w:tc>
        <w:tc>
          <w:tcPr>
            <w:tcW w:type="dxa" w:w="7937"/>
            <w:shd w:fill="FFFFFF" w:color="auto" w:val="clear"/>
            <w:tcMar>
              <w:top w:type="dxa" w:w="560"/>
              <w:left w:type="dxa" w:w="460"/>
              <w:bottom w:type="dxa" w:w="500"/>
              <w:right w:type="dxa" w:w="460"/>
            </w:tcMar>
            <w:vAlign w:val="top"/>
          </w:tcPr>
          <w:p>
            <w:pPr>
              <w:pBdr>
                <w:bottom w:val="single" w:color="C9A15A" w:sz="6" w:space="4"/>
              </w:pBdr>
              <w:spacing w:after="140" w:before="260"/>
            </w:pPr>
            <w:r>
              <w:rPr>
                <w:rFonts w:ascii="Georgia" w:cs="Georgia" w:eastAsia="Georgia" w:hAnsi="Georgia"/>
                <w:b/>
                <w:bCs/>
                <w:color w:val="1E2A3A"/>
                <w:spacing w:val="20"/>
                <w:sz w:val="24"/>
                <w:szCs w:val="24"/>
              </w:rPr>
              <w:t xml:space="preserve">OBJETIVO PROFISSIONAL</w:t>
            </w:r>
          </w:p>
          <w:p>
            <w:pPr>
              <w:spacing w:after="180" w:line="300"/>
              <w:jc w:val="both"/>
            </w:pPr>
            <w:r>
              <w:rPr>
                <w:rFonts w:ascii="Calibri" w:cs="Calibri" w:eastAsia="Calibri" w:hAnsi="Calibri"/>
                <w:color w:val="222831"/>
                <w:sz w:val="21"/>
                <w:szCs w:val="21"/>
              </w:rPr>
              <w:t xml:space="preserve">Profissional dedicada e em constante evolução, com sólida vivência em atendimento ao cliente, operação de caixa e suporte técnico a sistemas de pagamento. Busco crescer profissionalmente dentro da empresa em que atuo, assumindo novas responsabilidades e desafios que me permitam colocar em prática minhas habilidades de organização, controle de processos e trabalho em equipe. Tenho como objetivo contribuir ativamente para a eficiência das operações do setor, agregar valor por meio do meu raciocínio analítico e comprometimento, e evoluir para posições de maior responsabilidade, unindo experiência prática e dedicação em benefício dos resultados da organização.</w:t>
            </w:r>
          </w:p>
          <w:p>
            <w:pPr>
              <w:pBdr>
                <w:bottom w:val="single" w:color="C9A15A" w:sz="6" w:space="4"/>
              </w:pBdr>
              <w:spacing w:after="140" w:before="260"/>
            </w:pPr>
            <w:r>
              <w:rPr>
                <w:rFonts w:ascii="Georgia" w:cs="Georgia" w:eastAsia="Georgia" w:hAnsi="Georgia"/>
                <w:b/>
                <w:bCs/>
                <w:color w:val="1E2A3A"/>
                <w:spacing w:val="20"/>
                <w:sz w:val="24"/>
                <w:szCs w:val="24"/>
              </w:rPr>
              <w:t xml:space="preserve">EXPERIÊNCIA PROFISSIONAL</w:t>
            </w:r>
          </w:p>
          <w:p>
            <w:pPr>
              <w:tabs>
                <w:tab w:val="right" w:pos="6950"/>
              </w:tabs>
              <w:spacing w:after="30" w:before="220"/>
            </w:pPr>
            <w:r>
              <w:rPr>
                <w:rFonts w:ascii="Georgia" w:cs="Georgia" w:eastAsia="Georgia" w:hAnsi="Georgia"/>
                <w:b/>
                <w:bCs/>
                <w:color w:val="1E2A3A"/>
                <w:sz w:val="23"/>
                <w:szCs w:val="23"/>
              </w:rPr>
              <w:t xml:space="preserve">Fort Atacadista</w:t>
            </w:r>
            <w:r>
              <w:rPr>
                <w:rFonts w:ascii="Calibri" w:cs="Calibri" w:eastAsia="Calibri" w:hAnsi="Calibri"/>
                <w:b/>
                <w:bCs/>
                <w:color w:val="C9A15A"/>
                <w:spacing w:val="10"/>
                <w:sz w:val="17"/>
                <w:szCs w:val="17"/>
              </w:rPr>
              <w:t xml:space="preserve">	2024 – ATUAL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B6472"/>
                <w:sz w:val="20"/>
                <w:szCs w:val="20"/>
              </w:rPr>
              <w:t xml:space="preserve">Operadora de Caixa / Auxiliar de Self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Atendimento ao cliente e suporte em terminais de autoatendimento.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Apoio técnico e resolução de problemas em sistemas de pagamento.</w:t>
            </w:r>
          </w:p>
          <w:p>
            <w:pPr>
              <w:tabs>
                <w:tab w:val="right" w:pos="6950"/>
              </w:tabs>
              <w:spacing w:after="30" w:before="220"/>
            </w:pPr>
            <w:r>
              <w:rPr>
                <w:rFonts w:ascii="Georgia" w:cs="Georgia" w:eastAsia="Georgia" w:hAnsi="Georgia"/>
                <w:b/>
                <w:bCs/>
                <w:color w:val="1E2A3A"/>
                <w:sz w:val="23"/>
                <w:szCs w:val="23"/>
              </w:rPr>
              <w:t xml:space="preserve">Alma Viva</w:t>
            </w:r>
            <w:r>
              <w:rPr>
                <w:rFonts w:ascii="Calibri" w:cs="Calibri" w:eastAsia="Calibri" w:hAnsi="Calibri"/>
                <w:b/>
                <w:bCs/>
                <w:color w:val="C9A15A"/>
                <w:spacing w:val="10"/>
                <w:sz w:val="17"/>
                <w:szCs w:val="17"/>
              </w:rPr>
              <w:t xml:space="preserve">	2023 – 2024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B6472"/>
                <w:sz w:val="20"/>
                <w:szCs w:val="20"/>
              </w:rPr>
              <w:t xml:space="preserve">Operadora de Atendimento TR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Atendimento remoto e suporte técnico a clientes.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Registro e acompanhamento de chamados.</w:t>
            </w:r>
          </w:p>
          <w:p>
            <w:pPr>
              <w:tabs>
                <w:tab w:val="right" w:pos="6950"/>
              </w:tabs>
              <w:spacing w:after="30" w:before="220"/>
            </w:pPr>
            <w:r>
              <w:rPr>
                <w:rFonts w:ascii="Georgia" w:cs="Georgia" w:eastAsia="Georgia" w:hAnsi="Georgia"/>
                <w:b/>
                <w:bCs/>
                <w:color w:val="1E2A3A"/>
                <w:sz w:val="23"/>
                <w:szCs w:val="23"/>
              </w:rPr>
              <w:t xml:space="preserve">Tauste Supermercados</w:t>
            </w:r>
            <w:r>
              <w:rPr>
                <w:rFonts w:ascii="Calibri" w:cs="Calibri" w:eastAsia="Calibri" w:hAnsi="Calibri"/>
                <w:b/>
                <w:bCs/>
                <w:color w:val="C9A15A"/>
                <w:spacing w:val="10"/>
                <w:sz w:val="17"/>
                <w:szCs w:val="17"/>
              </w:rPr>
              <w:t xml:space="preserve">	2018 – 2023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B6472"/>
                <w:sz w:val="20"/>
                <w:szCs w:val="20"/>
              </w:rPr>
              <w:t xml:space="preserve">Operadora de Caixa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Atendimento ao público e operação de sistemas de pagamento.</w:t>
            </w:r>
          </w:p>
          <w:p>
            <w:pPr>
              <w:spacing w:after="60"/>
              <w:ind w:left="220" w:hanging="180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Apoio em rotinas administrativas e de equipe.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2026-07-10T00:30:54.679Z</dcterms:created>
  <dcterms:modified xsi:type="dcterms:W3CDTF">2026-07-10T00:30:54.679Z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