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" ContentType="application/octet-stream"/>
  <Override PartName="/word/media/image1.jpeg" ContentType="image/jpeg"/>
  <Override PartName="/word/media/image2.jpeg" ContentType="image/jpeg"/>
  <Override PartName="/word/media/image3.jpeg" ContentType="image/jpe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line="360" w:lineRule="auto"/>
        <w:jc w:val="center"/>
      </w:pPr>
    </w:p>
    <w:p>
      <w:pPr>
        <w:spacing w:line="360" w:lineRule="auto"/>
        <w:jc w:val="center"/>
        <w:rPr>
          <w:rFonts w:ascii="Arial" w:hAnsi="Arial"/>
          <w:b/>
          <w:sz w:val="24"/>
          <w:szCs w:val="24"/>
        </w:rPr>
      </w:pPr>
      <w:r>
        <w:rPr>
          <w:rFonts w:ascii="Arial" w:hAnsi="Arial"/>
          <w:b/>
          <w:sz w:val="24"/>
          <w:szCs w:val="24"/>
        </w:rPr>
        <w:t>PONTIFÍCIA UNIVERSIDADE CATÓLICA DE MINAS GERAIS</w:t>
      </w:r>
    </w:p>
    <w:p>
      <w:pPr>
        <w:spacing w:line="360" w:lineRule="auto"/>
        <w:jc w:val="center"/>
        <w:rPr>
          <w:rFonts w:ascii="Arial" w:hAnsi="Arial"/>
          <w:b/>
          <w:sz w:val="24"/>
          <w:szCs w:val="24"/>
        </w:rPr>
      </w:pPr>
      <w:r>
        <w:rPr>
          <w:rFonts w:ascii="Arial" w:hAnsi="Arial"/>
          <w:b/>
          <w:sz w:val="24"/>
          <w:szCs w:val="24"/>
        </w:rPr>
        <w:t>PUC Minas Virtual</w:t>
      </w:r>
    </w:p>
    <w:p>
      <w:pPr>
        <w:spacing w:line="360" w:lineRule="auto"/>
        <w:jc w:val="center"/>
        <w:rPr>
          <w:rFonts w:ascii="Arial" w:hAnsi="Arial"/>
          <w:b/>
          <w:sz w:val="24"/>
          <w:szCs w:val="24"/>
        </w:rPr>
      </w:pPr>
      <w:r>
        <w:rPr>
          <w:rFonts w:ascii="Arial" w:hAnsi="Arial"/>
          <w:b/>
          <w:sz w:val="24"/>
          <w:szCs w:val="24"/>
        </w:rPr>
        <w:t xml:space="preserve">Pós-graduação </w:t>
      </w:r>
      <w:r>
        <w:rPr>
          <w:rFonts w:ascii="Arial" w:hAnsi="Arial"/>
          <w:b/>
          <w:i/>
          <w:sz w:val="24"/>
          <w:szCs w:val="24"/>
        </w:rPr>
        <w:t>Lato Sensu</w:t>
      </w:r>
      <w:r>
        <w:rPr>
          <w:rFonts w:ascii="Arial" w:hAnsi="Arial"/>
          <w:b/>
          <w:sz w:val="24"/>
          <w:szCs w:val="24"/>
        </w:rPr>
        <w:t xml:space="preserve"> em Arquitetura de </w:t>
      </w:r>
      <w:r>
        <w:rPr>
          <w:rFonts w:ascii="Arial" w:hAnsi="Arial"/>
          <w:b/>
          <w:i/>
          <w:sz w:val="24"/>
          <w:szCs w:val="24"/>
        </w:rPr>
        <w:t>Software</w:t>
      </w:r>
      <w:r>
        <w:rPr>
          <w:rFonts w:ascii="Arial" w:hAnsi="Arial"/>
          <w:b/>
          <w:sz w:val="24"/>
          <w:szCs w:val="24"/>
        </w:rPr>
        <w:t xml:space="preserve"> Distribuído</w:t>
      </w:r>
    </w:p>
    <w:p>
      <w:pPr>
        <w:spacing w:line="360" w:lineRule="auto"/>
        <w:jc w:val="center"/>
      </w:pPr>
    </w:p>
    <w:p>
      <w:pPr>
        <w:spacing w:line="360" w:lineRule="auto"/>
        <w:jc w:val="center"/>
      </w:pPr>
    </w:p>
    <w:p>
      <w:pPr>
        <w:spacing w:line="360" w:lineRule="auto"/>
        <w:jc w:val="center"/>
      </w:pPr>
    </w:p>
    <w:p>
      <w:pPr>
        <w:spacing w:line="480" w:lineRule="auto"/>
        <w:jc w:val="center"/>
        <w:rPr>
          <w:sz w:val="38"/>
          <w:szCs w:val="38"/>
        </w:rPr>
      </w:pPr>
      <w:r>
        <w:rPr>
          <w:sz w:val="38"/>
          <w:szCs w:val="38"/>
        </w:rPr>
        <w:t>Projeto Integrado</w:t>
      </w:r>
    </w:p>
    <w:p>
      <w:pPr>
        <w:spacing w:line="480" w:lineRule="auto"/>
        <w:jc w:val="center"/>
        <w:rPr>
          <w:sz w:val="38"/>
          <w:szCs w:val="38"/>
        </w:rPr>
      </w:pPr>
      <w:r>
        <w:rPr>
          <w:sz w:val="38"/>
          <w:szCs w:val="38"/>
        </w:rPr>
        <w:t>Relatório Técnico</w:t>
      </w:r>
    </w:p>
    <w:p>
      <w:pPr>
        <w:spacing w:line="360" w:lineRule="auto"/>
        <w:jc w:val="center"/>
      </w:pPr>
    </w:p>
    <w:p>
      <w:pPr>
        <w:spacing w:line="360" w:lineRule="auto"/>
        <w:jc w:val="center"/>
        <w:rPr>
          <w:rFonts w:ascii="Arial" w:hAnsi="Arial"/>
          <w:b/>
          <w:sz w:val="28"/>
          <w:szCs w:val="28"/>
        </w:rPr>
      </w:pPr>
      <w:r>
        <w:rPr>
          <w:rFonts w:ascii="Arial" w:hAnsi="Arial"/>
          <w:b/>
          <w:sz w:val="28"/>
          <w:szCs w:val="28"/>
        </w:rPr>
        <w:t>RelatoSeg</w:t>
      </w:r>
    </w:p>
    <w:p>
      <w:pPr>
        <w:spacing w:line="360" w:lineRule="auto"/>
        <w:jc w:val="center"/>
        <w:rPr>
          <w:sz w:val="22"/>
          <w:szCs w:val="22"/>
        </w:rPr>
      </w:pPr>
      <w:r>
        <w:rPr>
          <w:sz w:val="22"/>
          <w:szCs w:val="22"/>
        </w:rPr>
        <w:t>uma arquitetura de referência distribuída para orquestração de agentes de IA via MCP aplicada à geração automatizada de relatórios de sinistros de seguros</w:t>
      </w:r>
    </w:p>
    <w:p>
      <w:pPr>
        <w:spacing w:line="360" w:lineRule="auto"/>
        <w:jc w:val="center"/>
      </w:pPr>
    </w:p>
    <w:p>
      <w:pPr>
        <w:spacing w:line="360" w:lineRule="auto"/>
        <w:jc w:val="center"/>
        <w:rPr>
          <w:sz w:val="22"/>
          <w:szCs w:val="22"/>
        </w:rPr>
      </w:pPr>
      <w:r>
        <w:rPr>
          <w:sz w:val="22"/>
          <w:szCs w:val="22"/>
        </w:rPr>
        <w:t>Domínio aplicado: Análise de Sinistros de Seguros</w:t>
      </w:r>
    </w:p>
    <w:p>
      <w:pPr>
        <w:spacing w:line="360" w:lineRule="auto"/>
        <w:jc w:val="center"/>
      </w:pPr>
    </w:p>
    <w:p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José Ribamar Bacelar Netto</w:t>
      </w:r>
    </w:p>
    <w:p>
      <w:pPr>
        <w:spacing w:line="360" w:lineRule="auto"/>
        <w:jc w:val="center"/>
      </w:pPr>
    </w:p>
    <w:p>
      <w:pPr>
        <w:spacing w:line="360" w:lineRule="auto"/>
        <w:jc w:val="center"/>
      </w:pPr>
    </w:p>
    <w:p>
      <w:pPr>
        <w:spacing w:line="360" w:lineRule="auto"/>
        <w:jc w:val="center"/>
      </w:pPr>
    </w:p>
    <w:p>
      <w:pPr>
        <w:spacing w:line="360" w:lineRule="auto"/>
        <w:jc w:val="center"/>
      </w:pPr>
    </w:p>
    <w:p>
      <w:pPr>
        <w:spacing w:line="360" w:lineRule="auto"/>
        <w:jc w:val="center"/>
      </w:pPr>
    </w:p>
    <w:p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Belo Horizonte</w:t>
      </w:r>
    </w:p>
    <w:p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agosto de 2026.</w:t>
      </w:r>
    </w:p>
    <w:p>
      <w:r>
        <w:br w:type="page"/>
      </w:r>
    </w:p>
    <w:p>
      <w:pPr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Sumário</w:t>
      </w:r>
    </w:p>
    <w:p>
      <w:pPr>
        <w:rPr>
          <w:i/>
          <w:sz w:val="20"/>
        </w:rPr>
      </w:pPr>
      <w:r>
        <w:rPr>
          <w:i/>
          <w:sz w:val="20"/>
        </w:rPr>
        <w:t>(Clique com o botão direito sobre o sumário → "Atualizar campo" → "Atualizar o índice inteiro" para preencher os números de página.)</w:t>
      </w:r>
    </w:p>
    <w:sdt>
      <w:sdtPr>
        <w:docPartObj>
          <w:docPartGallery w:val="Table of Contents"/>
          <w:docPartUnique/>
        </w:docPartObj>
      </w:sdtPr>
      <w:sdtContent>
        <w:p>
          <w:r>
            <w:fldChar w:fldCharType="begin" w:dirty="true"/>
          </w:r>
          <w:r>
            <w:instrText xml:space="preserve"> TOC \o "1-4" \h \z \u </w:instrText>
          </w:r>
          <w:r>
            <w:fldChar w:fldCharType="separate"/>
          </w:r>
          <w:r>
            <w:rPr>
              <w:i/>
            </w:rPr>
            <w:t>Sumário não gerado — atualize o campo após abrir o documento.</w:t>
          </w:r>
          <w:r>
            <w:fldChar w:fldCharType="end"/>
          </w:r>
        </w:p>
      </w:sdtContent>
    </w:sdt>
    <w:p>
      <w:r>
        <w:br w:type="page"/>
      </w:r>
    </w:p>
    <w:p>
      <w:pPr>
        <w:pStyle w:val="FirstParagraph"/>
      </w:pPr>
      <w:r>
        <w:rPr>
          <w:i/>
        </w:rPr>
        <w:t xml:space="preserve">Estrutura baseada no template oficial (</w:t>
      </w:r>
      <w:r>
        <w:rPr>
          <w:rStyle w:val="VerbatimChar"/>
          <w:i/>
        </w:rPr>
        <w:t xml:space="preserve">Template RelatorioTecnico ASD simpl.docx</w:t>
      </w:r>
      <w:r>
        <w:rPr>
          <w:i/>
        </w:rPr>
        <w:t xml:space="preserve">) e no Regulamento do Projeto Integrado — pós ASD 2025. Documento segue as duas etapas vigentes.</w:t>
      </w:r>
    </w:p>
    <w:p>
      <w:pPr>
        <w:pStyle w:val="Heading2"/>
      </w:pPr>
      <w:bookmarkStart w:id="20" w:name="introdução"/>
      <w:r>
        <w:t xml:space="preserve">1. Introdução</w:t>
      </w:r>
      <w:bookmarkEnd w:id="20"/>
    </w:p>
    <w:p>
      <w:pPr>
        <w:pStyle w:val="FirstParagraph"/>
      </w:pPr>
      <w:r>
        <w:rPr>
          <w:i/>
        </w:rPr>
        <w:t xml:space="preserve">(≈1 a 1,5 página. Do geral para o específico.)</w:t>
      </w:r>
    </w:p>
    <w:p>
      <w:pPr>
        <w:pStyle w:val="Heading3"/>
      </w:pPr>
      <w:bookmarkStart w:id="21" w:name="contextualização"/>
      <w:r>
        <w:t xml:space="preserve">Contextualização</w:t>
      </w:r>
      <w:bookmarkEnd w:id="21"/>
    </w:p>
    <w:p>
      <w:pPr>
        <w:pStyle w:val="FirstParagraph"/>
      </w:pPr>
      <w:r>
        <w:t xml:space="preserve">Seguradoras processam diariamente um grande volume de sinistros, cada um exigindo a análise cruzada de informações heterogêneas: fotos do dano enviadas pela segurada, laudos e documentos de peritos, dados cadastrais e histórico da apólice em sistemas legados, e regras de cobertura específicas de cada produto. A regulação desses sinistros está sujeita a prazo regulatório: a Superintendência de Seguros Privados (SUSEP), pela Circular SUSEP nº 621/2021, estabelece prazo de até 30 dias corridos (prorrogável em casos específicos) entre a entrega da documentação pela segurada e a conclusão da regulação, sob pena de atualização monetária e juros de mora (SUSEP, 2021; CONJUR, 2024). Historicamente, essa análise é conduzida manualmente por reguladores de sinistro, que precisam consultar múltiplos sistemas e documentos para compor um parecer dentro desse prazo. Esse cenário de pressão por agilidade coincide com uma adoção crescente de inteligência artificial no setor: pesquisa da CNseg indica que 80% das seguradoras brasileiras já implantaram alguma solução de IA, apontando a integração entre sistemas legados como a principal barreira relatada, citada por 69% das respondentes (MOBILE TIME, 2026). Com a maturidade recente de agentes de IA (LLMs) capazes de interpretar dados não estruturados (imagens, documentos) e operar ferramentas (</w:t>
      </w:r>
      <w:r>
        <w:rPr>
          <w:i/>
        </w:rPr>
        <w:t xml:space="preserve">tools</w:t>
      </w:r>
      <w:r>
        <w:t xml:space="preserve">) via protocolos padronizados como o</w:t>
      </w:r>
      <w:r>
        <w:t xml:space="preserve"> </w:t>
      </w:r>
      <w:r>
        <w:rPr>
          <w:b/>
        </w:rPr>
        <w:t xml:space="preserve">MCP (Model Context Protocol)</w:t>
      </w:r>
      <w:r>
        <w:t xml:space="preserve"> </w:t>
      </w:r>
      <w:r>
        <w:t xml:space="preserve">(ANTHROPIC, 2024), abre-se a possibilidade de automatizar parte relevante desse processo de forma estruturada e auditável — endereçando justamente essa barreira de integração entre sistemas heterogêneos.</w:t>
      </w:r>
    </w:p>
    <w:p>
      <w:pPr>
        <w:pStyle w:val="Heading3"/>
      </w:pPr>
      <w:bookmarkStart w:id="22" w:name="problema"/>
      <w:r>
        <w:t xml:space="preserve">Problema</w:t>
      </w:r>
      <w:bookmarkEnd w:id="22"/>
    </w:p>
    <w:p>
      <w:pPr>
        <w:pStyle w:val="FirstParagraph"/>
      </w:pPr>
      <w:r>
        <w:t xml:space="preserve">A geração do relatório de análise de um sinistro, hoje, depende de um processo majoritariamente manual: o regulador precisa acessar individualmente o sistema de apólices, o repositório de documentos/fotos enviados pela segurada e, eventualmente, sistemas de terceiros (ex. tabelas de referência de peças/serviços), para então redigir um parecer consolidado. Isso torna o tempo de resposta ao segurado longo e sujeito a inconsistência entre pareceres de reguladores diferentes, além de dificultar a rastreabilidade de quais evidências embasaram cada decisão. Automatizar esse fluxo especificamente para sinistros, por sua vez, não resolve o problema de fundo: outras áreas da seguradora (ex. auditoria de compliance, ouvidoria) enfrentam a mesma necessidade de cruzar dados heterogêneos e gerar relatórios, sem uma arquitetura compartilhada que evite reconstruir o mesmo pipeline do zero.</w:t>
      </w:r>
    </w:p>
    <w:p>
      <w:pPr>
        <w:pStyle w:val="Heading3"/>
      </w:pPr>
      <w:bookmarkStart w:id="23" w:name="motivação"/>
      <w:r>
        <w:t xml:space="preserve">Motivação</w:t>
      </w:r>
      <w:bookmarkEnd w:id="23"/>
    </w:p>
    <w:p>
      <w:pPr>
        <w:pStyle w:val="FirstParagraph"/>
      </w:pPr>
      <w:r>
        <w:t xml:space="preserve">Padronizar esse pipeline em uma arquitetura distribuída reutilizável reduz o esforço de engenharia necessário para automatizar a geração de relatórios em uma nova área da seguradora — bastando implementar sua própria API de ferramentas de domínio (MCP Server), sem recriar o restante do fluxo (orquestração, armazenamento, consolidação, geração de documento e notificação). No caso da análise de sinistros, isso significa reduzir o tempo de regulação, padronizar a qualidade dos pareceres e manter rastreabilidade completa de quais evidências (fotos, laudos, dados da apólice) embasaram cada relatório gerado — um requisito relevante inclusive do ponto de vista regulatório (ex. SUSEP).</w:t>
      </w:r>
    </w:p>
    <w:p>
      <w:pPr>
        <w:pStyle w:val="Heading3"/>
      </w:pPr>
      <w:bookmarkStart w:id="24" w:name="objetivos"/>
      <w:r>
        <w:t xml:space="preserve">Objetivos</w:t>
      </w:r>
      <w:bookmarkEnd w:id="24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Objetivo geral:</w:t>
      </w:r>
      <w:r>
        <w:t xml:space="preserve"> </w:t>
      </w:r>
      <w:r>
        <w:t xml:space="preserve">Propor uma arquitetura distribuída de referência, baseada na orquestração de agentes de IA (LLM) via protocolo MCP, capaz de automatizar a geração de relatórios analíticos a partir de dados corporativos heterogêneos, de forma reutilizável entre diferentes áreas de negócio — demonstrada no domínio de</w:t>
      </w:r>
      <w:r>
        <w:t xml:space="preserve"> </w:t>
      </w:r>
      <w:r>
        <w:rPr>
          <w:b/>
        </w:rPr>
        <w:t xml:space="preserve">análise de sinistros de seguros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Objetivos específicos:</w:t>
      </w:r>
    </w:p>
    <w:p>
      <w:pPr>
        <w:numPr>
          <w:ilvl w:val="1"/>
          <w:numId w:val="1002"/>
        </w:numPr>
        <w:pStyle w:val="Compact"/>
      </w:pPr>
      <w:r>
        <w:t xml:space="preserve">Definir a macroarquitetura (modelo</w:t>
      </w:r>
      <w:r>
        <w:t xml:space="preserve"> </w:t>
      </w:r>
      <w:r>
        <w:rPr>
          <w:b/>
        </w:rPr>
        <w:t xml:space="preserve">C4</w:t>
      </w:r>
      <w:r>
        <w:t xml:space="preserve"> </w:t>
      </w:r>
      <w:r>
        <w:t xml:space="preserve">— contexto, container e componentes; BROWN, [s.d.]) do pipeline de geração automatizada de relatórios de sinistro, desde a solicitação de regulação até a notificação do parecer.</w:t>
      </w:r>
    </w:p>
    <w:p>
      <w:pPr>
        <w:numPr>
          <w:ilvl w:val="1"/>
          <w:numId w:val="1002"/>
        </w:numPr>
        <w:pStyle w:val="Compact"/>
      </w:pPr>
      <w:r>
        <w:t xml:space="preserve">Especificar os mecanismos de integração entre o motor de orquestração da pipeline, a plataforma de orquestração de agentes (MCP Host) e a API de ferramentas de domínio (MCP Server / Tools API) que consulta apólices, sinistros e documentos.</w:t>
      </w:r>
    </w:p>
    <w:p>
      <w:pPr>
        <w:numPr>
          <w:ilvl w:val="1"/>
          <w:numId w:val="1002"/>
        </w:numPr>
        <w:pStyle w:val="Compact"/>
      </w:pPr>
      <w:r>
        <w:t xml:space="preserve">Avaliar a arquitetura proposta quanto a segurança, escalabilidade, desempenho, rastreabilidade e extensibilidade para novos domínios de negócio, segundo o método ATAM.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especificação-arquitetural-da-solução"/>
      <w:r>
        <w:t xml:space="preserve">2. Especificação Arquitetural da Solução</w:t>
      </w:r>
      <w:bookmarkEnd w:id="25"/>
    </w:p>
    <w:p>
      <w:pPr>
        <w:pStyle w:val="Heading3"/>
      </w:pPr>
      <w:bookmarkStart w:id="26" w:name="restrições-arquiteturais"/>
      <w:r>
        <w:t xml:space="preserve">2.1 Restrições Arquiteturais</w:t>
      </w:r>
      <w:bookmarkEnd w:id="26"/>
    </w:p>
    <w:p>
      <w:pPr>
        <w:pStyle w:val="FirstParagraph"/>
      </w:pPr>
      <w:r>
        <w:rPr>
          <w:i/>
        </w:rPr>
        <w:t xml:space="preserve">(3 a 5 restrições — CA-1.2)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Restrição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p>
            <w:pPr>
              <w:pStyle w:val="Compact"/>
              <w:jc w:val="left"/>
            </w:pPr>
            <w:r>
              <w:t xml:space="preserve">A comunicação entre a plataforma de orquestração de agentes (MCP Host) e as APIs de ferramentas de domínio deve seguir o protocolo</w:t>
            </w:r>
            <w:r>
              <w:t xml:space="preserve"> </w:t>
            </w:r>
            <w:r>
              <w:rPr>
                <w:b/>
              </w:rPr>
              <w:t xml:space="preserve">MCP (Model Context Protocol)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p>
            <w:pPr>
              <w:pStyle w:val="Compact"/>
              <w:jc w:val="left"/>
            </w:pPr>
            <w:r>
              <w:t xml:space="preserve">Os dados brutos do sinistro (documentos, imagens, respostas de agentes) devem ser armazenados fora de infraestrutura on-premise, já que a seguradora não mantém datacenter próprio para novos projetos — restringindo o armazenamento intermediário a serviços de</w:t>
            </w:r>
            <w:r>
              <w:t xml:space="preserve"> </w:t>
            </w:r>
            <w:r>
              <w:rPr>
                <w:i/>
              </w:rPr>
              <w:t xml:space="preserve">object storage</w:t>
            </w:r>
            <w:r>
              <w:t xml:space="preserve"> </w:t>
            </w:r>
            <w:r>
              <w:t xml:space="preserve">em nuvem. A plataforma adota o</w:t>
            </w:r>
            <w:r>
              <w:t xml:space="preserve"> </w:t>
            </w:r>
            <w:r>
              <w:rPr>
                <w:b/>
              </w:rPr>
              <w:t xml:space="preserve">Google Cloud Platform (GCP)</w:t>
            </w:r>
            <w:r>
              <w:t xml:space="preserve"> </w:t>
            </w:r>
            <w:r>
              <w:t xml:space="preserve">como provedor único, para não fragmentar operação, billing e superfície de segurança entre múltiplas nuvens.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p>
            <w:pPr>
              <w:pStyle w:val="Compact"/>
              <w:jc w:val="left"/>
            </w:pPr>
            <w:r>
              <w:t xml:space="preserve">Os dados estruturados de apólice e sinistro já são replicados para o</w:t>
            </w:r>
            <w:r>
              <w:t xml:space="preserve"> </w:t>
            </w:r>
            <w:r>
              <w:rPr>
                <w:i/>
              </w:rPr>
              <w:t xml:space="preserve">data warehouse</w:t>
            </w:r>
            <w:r>
              <w:t xml:space="preserve"> </w:t>
            </w:r>
            <w:r>
              <w:t xml:space="preserve">corporativo (ex.: BigQuery) mantido pela área de dados da seguradora, sem acesso direto aos bancos operacionais dos sistemas legados — restringindo a consulta estruturada a essa camada analítica.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p>
            <w:pPr>
              <w:pStyle w:val="Compact"/>
              <w:jc w:val="left"/>
            </w:pPr>
            <w:r>
              <w:t xml:space="preserve">A notificação de conclusão ou erro de cada etapa deve ser assíncrona, via mecanismo de mensageria</w:t>
            </w:r>
            <w:r>
              <w:t xml:space="preserve"> </w:t>
            </w:r>
            <w:r>
              <w:rPr>
                <w:i/>
              </w:rPr>
              <w:t xml:space="preserve">pub/sub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R5</w:t>
            </w:r>
          </w:p>
        </w:tc>
        <w:tc>
          <w:p>
            <w:pPr>
              <w:pStyle w:val="Compact"/>
              <w:jc w:val="left"/>
            </w:pPr>
            <w:r>
              <w:t xml:space="preserve">Dados pessoais e de sinistro (fotos, laudos, dados da segurada) tratados pela plataforma devem atender a requisitos de proteção de dados (LGPD) e às normas do órgão regulador do setor (SUSEP).</w:t>
            </w:r>
          </w:p>
        </w:tc>
      </w:tr>
    </w:tbl>
    <w:p>
      <w:pPr>
        <w:pStyle w:val="Heading3"/>
      </w:pPr>
      <w:bookmarkStart w:id="27" w:name="requisitos-funcionais"/>
      <w:r>
        <w:t xml:space="preserve">2.2 Requisitos Funcionais</w:t>
      </w:r>
      <w:bookmarkEnd w:id="27"/>
    </w:p>
    <w:p>
      <w:pPr>
        <w:pStyle w:val="FirstParagraph"/>
      </w:pPr>
      <w:r>
        <w:rPr>
          <w:i/>
        </w:rPr>
        <w:t xml:space="preserve">(12 a 15 requisitos, macro, claros e completos — CA-1.3)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 Resumida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Dificuldade (B/M/A)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Prioridade (B/M/A)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RF01</w:t>
            </w:r>
          </w:p>
        </w:tc>
        <w:tc>
          <w:p>
            <w:pPr>
              <w:pStyle w:val="Compact"/>
              <w:jc w:val="left"/>
            </w:pPr>
            <w:r>
              <w:t xml:space="preserve">Permitir que o regulador solicite a análise automatizada de um sinistro registrado, via Workflow/BPM existente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RF02</w:t>
            </w:r>
          </w:p>
        </w:tc>
        <w:tc>
          <w:p>
            <w:pPr>
              <w:pStyle w:val="Compact"/>
              <w:jc w:val="left"/>
            </w:pPr>
            <w:r>
              <w:t xml:space="preserve">Permitir que a segurada envie, via aplicativo mobile ou web portal, fotos e informações do dano diretamente para a plataforma, disparando a análise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RF03</w:t>
            </w:r>
          </w:p>
        </w:tc>
        <w:tc>
          <w:p>
            <w:pPr>
              <w:pStyle w:val="Compact"/>
              <w:jc w:val="left"/>
            </w:pPr>
            <w:r>
              <w:t xml:space="preserve">Registrar o pedido de análise com identificador único de correlação ao sinistro, independentemente da origem (regulador ou segurada)</w:t>
            </w:r>
          </w:p>
        </w:tc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RF04</w:t>
            </w:r>
          </w:p>
        </w:tc>
        <w:tc>
          <w:p>
            <w:pPr>
              <w:pStyle w:val="Compact"/>
              <w:jc w:val="left"/>
            </w:pPr>
            <w:r>
              <w:t xml:space="preserve">Orquestrar a execução dos agentes de IA (MCP Host) a partir do pedido registrado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RF05</w:t>
            </w:r>
          </w:p>
        </w:tc>
        <w:tc>
          <w:p>
            <w:pPr>
              <w:pStyle w:val="Compact"/>
              <w:jc w:val="left"/>
            </w:pPr>
            <w:r>
              <w:t xml:space="preserve">Permitir, via</w:t>
            </w:r>
            <w:r>
              <w:t xml:space="preserve"> </w:t>
            </w:r>
            <w:r>
              <w:rPr>
                <w:b/>
              </w:rPr>
              <w:t xml:space="preserve">Agent Console</w:t>
            </w:r>
            <w:r>
              <w:t xml:space="preserve"> </w:t>
            </w:r>
            <w:r>
              <w:t xml:space="preserve">dedicado (app própria, separada do Web Console operacional), a criação e configuração de agentes — prompt e modelo de LLM associado — e o cadastro de novos MCP Servers, restrito a funcionários técnicos/de negócio da seguradora (administrador de plataforma)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RF06</w:t>
            </w:r>
          </w:p>
        </w:tc>
        <w:tc>
          <w:p>
            <w:pPr>
              <w:pStyle w:val="Compact"/>
              <w:jc w:val="left"/>
            </w:pPr>
            <w:r>
              <w:t xml:space="preserve">Expor, via MCP Server (Tools API), as ferramentas de consulta a apólice, sinistro e documentos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RF07</w:t>
            </w:r>
          </w:p>
        </w:tc>
        <w:tc>
          <w:p>
            <w:pPr>
              <w:pStyle w:val="Compact"/>
              <w:jc w:val="left"/>
            </w:pPr>
            <w:r>
              <w:t xml:space="preserve">Consultar dados estruturados da apólice e do sinistro (data warehouse) a partir das tools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RF08</w:t>
            </w:r>
          </w:p>
        </w:tc>
        <w:tc>
          <w:p>
            <w:pPr>
              <w:pStyle w:val="Compact"/>
              <w:jc w:val="left"/>
            </w:pPr>
            <w:r>
              <w:t xml:space="preserve">Coletar e armazenar fotos do dano e laudos periciais, incluindo geolocalização e timestamp capturados pelo app mobile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RF09</w:t>
            </w:r>
          </w:p>
        </w:tc>
        <w:tc>
          <w:p>
            <w:pPr>
              <w:pStyle w:val="Compact"/>
              <w:jc w:val="left"/>
            </w:pPr>
            <w:r>
              <w:t xml:space="preserve">Consolidar os dados brutos coletados em um metadado padronizado do parecer de sinistro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RF10</w:t>
            </w:r>
          </w:p>
        </w:tc>
        <w:tc>
          <w:p>
            <w:pPr>
              <w:pStyle w:val="Compact"/>
              <w:jc w:val="left"/>
            </w:pPr>
            <w:r>
              <w:t xml:space="preserve">Gerar o documento final do parecer a partir do metadado consolidado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RF11</w:t>
            </w:r>
          </w:p>
        </w:tc>
        <w:tc>
          <w:p>
            <w:pPr>
              <w:pStyle w:val="Compact"/>
              <w:jc w:val="left"/>
            </w:pPr>
            <w:r>
              <w:t xml:space="preserve">Publicar o resultado do processamento (sucesso) em tópico de notificação, com link do documento, disparando notificação ativa por e-mail (regulador/corretor) e push mobile (segurada)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RF12</w:t>
            </w:r>
          </w:p>
        </w:tc>
        <w:tc>
          <w:p>
            <w:pPr>
              <w:pStyle w:val="Compact"/>
              <w:jc w:val="left"/>
            </w:pPr>
            <w:r>
              <w:t xml:space="preserve">Publicar erros ocorridos em qualquer etapa do pipeline no mesmo mecanismo de notificação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RF13</w:t>
            </w:r>
          </w:p>
        </w:tc>
        <w:tc>
          <w:p>
            <w:pPr>
              <w:pStyle w:val="Compact"/>
              <w:jc w:val="left"/>
            </w:pPr>
            <w:r>
              <w:t xml:space="preserve">Permitir que apenas a área solicitante consuma a notificação/relatório correspondente (filtro por correlação)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RF14</w:t>
            </w:r>
          </w:p>
        </w:tc>
        <w:tc>
          <w:p>
            <w:pPr>
              <w:pStyle w:val="Compact"/>
              <w:jc w:val="left"/>
            </w:pPr>
            <w:r>
              <w:t xml:space="preserve">Disponibilizar, via Web Console, o status e o histórico de cada solicitação de análise para regulador e corretor de seguros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RF15</w:t>
            </w:r>
          </w:p>
        </w:tc>
        <w:tc>
          <w:p>
            <w:pPr>
              <w:pStyle w:val="Compact"/>
              <w:jc w:val="left"/>
            </w:pPr>
            <w:r>
              <w:t xml:space="preserve">Permitir o cadastro de um novo MCP Server (nova área de negócio, além de sinistros) sem alterar o MCP Host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</w:tr>
    </w:tbl>
    <w:p>
      <w:pPr>
        <w:pStyle w:val="Heading3"/>
      </w:pPr>
      <w:bookmarkStart w:id="28" w:name="requisitos-não-funcionais"/>
      <w:r>
        <w:t xml:space="preserve">2.3 Requisitos Não-funcionais</w:t>
      </w:r>
      <w:bookmarkEnd w:id="28"/>
    </w:p>
    <w:p>
      <w:pPr>
        <w:pStyle w:val="FirstParagraph"/>
      </w:pPr>
      <w:r>
        <w:rPr>
          <w:i/>
        </w:rPr>
        <w:t xml:space="preserve">(5 a 6 requisitos, preferencialmente quantitativos — CA-1.4)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Prioridade (B/M/A)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RNF01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Segurança/Privacidade:</w:t>
            </w:r>
            <w:r>
              <w:t xml:space="preserve"> </w:t>
            </w:r>
            <w:r>
              <w:t xml:space="preserve">dados sensíveis em trânsito e em repouso devem ser criptografados; autenticação via OAuth2/OIDC (Keycloak), com o API Gateway validando o token e aplicando RBAC por papel (segurada, regulador, corretor, administrador); acesso à Tools API deve exigir autenticação por serviço e estar sujeito a rate limiting no API Gateway e na própria Tools API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RNF02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Extensibilidade:</w:t>
            </w:r>
            <w:r>
              <w:t xml:space="preserve"> </w:t>
            </w:r>
            <w:r>
              <w:t xml:space="preserve">deve ser possível integrar um novo MCP Server (novo domínio de negócio) em até</w:t>
            </w:r>
            <w:r>
              <w:t xml:space="preserve"> </w:t>
            </w:r>
            <w:r>
              <w:rPr>
                <w:b/>
              </w:rPr>
              <w:t xml:space="preserve">10 dias-homem</w:t>
            </w:r>
            <w:r>
              <w:t xml:space="preserve"> </w:t>
            </w:r>
            <w:r>
              <w:t xml:space="preserve">(implementação das tools + testes, seguindo o padrão estabelecido), sem alteração no MCP Host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RNF03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Disponibilidade:</w:t>
            </w:r>
            <w:r>
              <w:t xml:space="preserve"> </w:t>
            </w:r>
            <w:r>
              <w:t xml:space="preserve">a plataforma deve operar com disponibilidade de 99,9% em horário comercial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RNF04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Desempenho e Escalabilidade:</w:t>
            </w:r>
            <w:r>
              <w:t xml:space="preserve"> </w:t>
            </w:r>
            <w:r>
              <w:t xml:space="preserve">para um sinistro de volume típico (até 15 fotos e laudo pericial de até 10 páginas), o tempo entre a solicitação do parecer e a notificação final não deve ultrapassar</w:t>
            </w:r>
            <w:r>
              <w:t xml:space="preserve"> </w:t>
            </w:r>
            <w:r>
              <w:rPr>
                <w:b/>
              </w:rPr>
              <w:t xml:space="preserve">10 minutos (p95)</w:t>
            </w:r>
            <w:r>
              <w:t xml:space="preserve">; a plataforma deve suportar pelo menos</w:t>
            </w:r>
            <w:r>
              <w:t xml:space="preserve"> </w:t>
            </w:r>
            <w:r>
              <w:rPr>
                <w:b/>
              </w:rPr>
              <w:t xml:space="preserve">50 solicitações concorrentes</w:t>
            </w:r>
            <w:r>
              <w:t xml:space="preserve"> </w:t>
            </w:r>
            <w:r>
              <w:t xml:space="preserve">sem degradação, inclusive picos de envio de fotos via app mobile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RNF05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Rastreabilidade:</w:t>
            </w:r>
            <w:r>
              <w:t xml:space="preserve"> </w:t>
            </w:r>
            <w:r>
              <w:t xml:space="preserve">todo parecer gerado deve ser auditável de ponta a ponta (quem solicitou, quais fontes/evidências consultadas, quando), inclusive as submissões feitas via app mobile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RNF06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Usabilidade e Disponibilidade Offline (mobile):</w:t>
            </w:r>
            <w:r>
              <w:t xml:space="preserve"> </w:t>
            </w:r>
            <w:r>
              <w:t xml:space="preserve">o aplicativo da segurada deve permitir a captura de fotos do sinistro mesmo sem conectividade, sincronizando automaticamente quando a conexão for reestabelecida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</w:tr>
    </w:tbl>
    <w:p>
      <w:pPr>
        <w:pStyle w:val="BlockText"/>
      </w:pPr>
      <w:r>
        <w:rPr>
          <w:b/>
        </w:rPr>
        <w:t xml:space="preserve">Nota sobre RNF03 (disponibilidade):</w:t>
      </w:r>
      <w:r>
        <w:t xml:space="preserve"> </w:t>
      </w:r>
      <w:r>
        <w:t xml:space="preserve">o valor de 99,9%/mês (~43min de indisponibilidade tolerada) é sustentado pela topologia definida em 2.4 — cluster</w:t>
      </w:r>
      <w:r>
        <w:t xml:space="preserve"> </w:t>
      </w:r>
      <w:r>
        <w:rPr>
          <w:b/>
        </w:rPr>
        <w:t xml:space="preserve">Kubernetes (GKE)</w:t>
      </w:r>
      <w:r>
        <w:t xml:space="preserve"> </w:t>
      </w:r>
      <w:r>
        <w:t xml:space="preserve">multi-zona, com múltiplas réplicas de cada componente de aplicação e</w:t>
      </w:r>
      <w:r>
        <w:t xml:space="preserve"> </w:t>
      </w:r>
      <w:r>
        <w:rPr>
          <w:i/>
        </w:rPr>
        <w:t xml:space="preserve">rolling updates</w:t>
      </w:r>
      <w:r>
        <w:t xml:space="preserve"> </w:t>
      </w:r>
      <w:r>
        <w:t xml:space="preserve">sem downtime, combinado a serviços gerenciados do GCP (</w:t>
      </w:r>
      <w:r>
        <w:rPr>
          <w:b/>
        </w:rPr>
        <w:t xml:space="preserve">Cloud SQL</w:t>
      </w:r>
      <w:r>
        <w:t xml:space="preserve">,</w:t>
      </w:r>
      <w:r>
        <w:t xml:space="preserve"> </w:t>
      </w:r>
      <w:r>
        <w:rPr>
          <w:b/>
        </w:rPr>
        <w:t xml:space="preserve">Memorystore</w:t>
      </w:r>
      <w:r>
        <w:t xml:space="preserve">,</w:t>
      </w:r>
      <w:r>
        <w:t xml:space="preserve"> </w:t>
      </w:r>
      <w:r>
        <w:rPr>
          <w:b/>
        </w:rPr>
        <w:t xml:space="preserve">Pub/Sub</w:t>
      </w:r>
      <w:r>
        <w:t xml:space="preserve">) que já oferecem SLA de alta disponibilidade próprio, tirando da plataforma a responsabilidade de operar HA para os componentes com estado. Esse trade-off (maior complexidade/custo operacional × maior disponibilidade, em troca da simplicidade do nó único usado só em desenvolvimento/testes locais via Docker Compose) é revisitado na Avaliação Arquitetural (seção 4).</w:t>
      </w:r>
    </w:p>
    <w:p>
      <w:pPr>
        <w:pStyle w:val="Heading3"/>
      </w:pPr>
      <w:bookmarkStart w:id="29" w:name="mecanismos-arquiteturais"/>
      <w:r>
        <w:t xml:space="preserve">2.4 Mecanismos Arquiteturais</w:t>
      </w:r>
      <w:bookmarkEnd w:id="29"/>
    </w:p>
    <w:p>
      <w:pPr>
        <w:pStyle w:val="FirstParagraph"/>
      </w:pPr>
      <w:r>
        <w:rPr>
          <w:i/>
        </w:rPr>
        <w:t xml:space="preserve">(CA-1.5 — Análise / Design / Implementação)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Análise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Design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Implementação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Persistência (dados estruturados, fonte externa)</w:t>
            </w:r>
          </w:p>
        </w:tc>
        <w:tc>
          <w:p>
            <w:pPr>
              <w:pStyle w:val="Compact"/>
              <w:jc w:val="left"/>
            </w:pPr>
            <w:r>
              <w:t xml:space="preserve">Data Warehouse na nuvem</w:t>
            </w:r>
          </w:p>
        </w:tc>
        <w:tc>
          <w:p>
            <w:pPr>
              <w:pStyle w:val="Compact"/>
              <w:jc w:val="left"/>
            </w:pPr>
            <w:r>
              <w:t xml:space="preserve">BigQuery (GCP)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Persistência (dados não estruturados)</w:t>
            </w:r>
          </w:p>
        </w:tc>
        <w:tc>
          <w:p>
            <w:pPr>
              <w:pStyle w:val="Compact"/>
              <w:jc w:val="left"/>
            </w:pPr>
            <w:r>
              <w:t xml:space="preserve">Object storage</w:t>
            </w:r>
          </w:p>
        </w:tc>
        <w:tc>
          <w:p>
            <w:pPr>
              <w:pStyle w:val="Compact"/>
              <w:jc w:val="left"/>
            </w:pPr>
            <w:r>
              <w:t xml:space="preserve">Google Cloud Storage (GCS)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Persistência (estado operacional da orquestração)</w:t>
            </w:r>
          </w:p>
        </w:tc>
        <w:tc>
          <w:p>
            <w:pPr>
              <w:pStyle w:val="Compact"/>
              <w:jc w:val="left"/>
            </w:pPr>
            <w:r>
              <w:t xml:space="preserve">Banco relacional — uma única instância, com um schema por dono:</w:t>
            </w:r>
            <w:r>
              <w:t xml:space="preserve"> </w:t>
            </w:r>
            <w:r>
              <w:rPr>
                <w:b/>
              </w:rPr>
              <w:t xml:space="preserve">Temporal Server</w:t>
            </w:r>
            <w:r>
              <w:t xml:space="preserve"> </w:t>
            </w:r>
            <w:r>
              <w:t xml:space="preserve">(histórico de execução dos workflows/activities, gerenciado automaticamente pelo próprio Temporal),</w:t>
            </w:r>
            <w:r>
              <w:t xml:space="preserve"> </w:t>
            </w:r>
            <w:r>
              <w:rPr>
                <w:b/>
              </w:rPr>
              <w:t xml:space="preserve">Init Worker</w:t>
            </w:r>
            <w:r>
              <w:t xml:space="preserve"> </w:t>
            </w:r>
            <w:r>
              <w:t xml:space="preserve">(registro da solicitação, step 1) e</w:t>
            </w:r>
            <w:r>
              <w:t xml:space="preserve"> </w:t>
            </w:r>
            <w:r>
              <w:rPr>
                <w:b/>
              </w:rPr>
              <w:t xml:space="preserve">MCP Host</w:t>
            </w:r>
            <w:r>
              <w:t xml:space="preserve"> </w:t>
            </w:r>
            <w:r>
              <w:t xml:space="preserve">(Prompt Config Store — prompts, modelos, chaves de API, RF05); a API de Sinistros não toca nesta base, preservando</w:t>
            </w:r>
            <w:r>
              <w:t xml:space="preserve"> </w:t>
            </w:r>
            <w:r>
              <w:rPr>
                <w:i/>
              </w:rPr>
              <w:t xml:space="preserve">Database per Service</w:t>
            </w:r>
          </w:p>
        </w:tc>
        <w:tc>
          <w:p>
            <w:pPr>
              <w:pStyle w:val="Compact"/>
              <w:jc w:val="left"/>
            </w:pPr>
            <w:r>
              <w:t xml:space="preserve">Cloud SQL for PostgreSQL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Persistência (modelo de leitura / view)</w:t>
            </w:r>
          </w:p>
        </w:tc>
        <w:tc>
          <w:p>
            <w:pPr>
              <w:pStyle w:val="Compact"/>
              <w:jc w:val="left"/>
            </w:pPr>
            <w:r>
              <w:t xml:space="preserve">Banco relacional, uso exclusivo da API de Sinistros — princípio</w:t>
            </w:r>
            <w:r>
              <w:t xml:space="preserve"> </w:t>
            </w:r>
            <w:r>
              <w:rPr>
                <w:i/>
              </w:rPr>
              <w:t xml:space="preserve">Database per Service</w:t>
            </w:r>
            <w:r>
              <w:t xml:space="preserve">: cada serviço dono da sua base, dados duplicados entre bases quando necessário, em troca de desacoplamento</w:t>
            </w:r>
          </w:p>
        </w:tc>
        <w:tc>
          <w:p>
            <w:pPr>
              <w:pStyle w:val="Compact"/>
              <w:jc w:val="left"/>
            </w:pPr>
            <w:r>
              <w:t xml:space="preserve">Cloud SQL for PostgreSQL (instância separada)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Cache de leitura</w:t>
            </w:r>
          </w:p>
        </w:tc>
        <w:tc>
          <w:p>
            <w:pPr>
              <w:pStyle w:val="Compact"/>
              <w:jc w:val="left"/>
            </w:pPr>
            <w:r>
              <w:t xml:space="preserve">Cache em memória, gerenciado</w:t>
            </w:r>
          </w:p>
        </w:tc>
        <w:tc>
          <w:p>
            <w:pPr>
              <w:pStyle w:val="Compact"/>
              <w:jc w:val="left"/>
            </w:pPr>
            <w:r>
              <w:t xml:space="preserve">Memorystore for Redis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Autenticação/Autorização (IAM)</w:t>
            </w:r>
          </w:p>
        </w:tc>
        <w:tc>
          <w:p>
            <w:pPr>
              <w:pStyle w:val="Compact"/>
              <w:jc w:val="left"/>
            </w:pPr>
            <w:r>
              <w:t xml:space="preserve">OAuth2 (HARDT, 2012)/OIDC — dois realms: interno (federado ao SSO corporativo já existente na seguradora) e externo (cadastro próprio da segurada); Gateway valida token via JWKS, RBAC aplicado por</w:t>
            </w:r>
            <w:r>
              <w:t xml:space="preserve"> </w:t>
            </w:r>
            <w:r>
              <w:rPr>
                <w:i/>
              </w:rPr>
              <w:t xml:space="preserve">claims</w:t>
            </w:r>
            <w:r>
              <w:t xml:space="preserve"> </w:t>
            </w:r>
            <w:r>
              <w:t xml:space="preserve">de papel</w:t>
            </w:r>
          </w:p>
        </w:tc>
        <w:tc>
          <w:p>
            <w:pPr>
              <w:pStyle w:val="Compact"/>
              <w:jc w:val="left"/>
            </w:pPr>
            <w:r>
              <w:t xml:space="preserve">Keycloak (self-hosted, containerizado no GKE)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Persistência (IAM)</w:t>
            </w:r>
          </w:p>
        </w:tc>
        <w:tc>
          <w:p>
            <w:pPr>
              <w:pStyle w:val="Compact"/>
              <w:jc w:val="left"/>
            </w:pPr>
            <w:r>
              <w:t xml:space="preserve">Banco relacional dedicado ao Keycloak — instância própria, isolada da base operacional, por ser dado sensível (credenciais) que pede segregação extra</w:t>
            </w:r>
          </w:p>
        </w:tc>
        <w:tc>
          <w:p>
            <w:pPr>
              <w:pStyle w:val="Compact"/>
              <w:jc w:val="left"/>
            </w:pPr>
            <w:r>
              <w:t xml:space="preserve">Cloud SQL for PostgreSQL (instância separada)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Restrição de acesso de rede (Agent Console)</w:t>
            </w:r>
          </w:p>
        </w:tc>
        <w:tc>
          <w:p>
            <w:pPr>
              <w:pStyle w:val="Compact"/>
              <w:jc w:val="left"/>
            </w:pPr>
            <w:r>
              <w:t xml:space="preserve">Controle de acesso na borda por identidade (zero-trust), adicional à autenticação Keycloak/OIDC — restringe quem sequer alcança a aplicação, não só quem consegue logar, dado o</w:t>
            </w:r>
            <w:r>
              <w:t xml:space="preserve"> </w:t>
            </w:r>
            <w:r>
              <w:rPr>
                <w:i/>
              </w:rPr>
              <w:t xml:space="preserve">blast radius</w:t>
            </w:r>
            <w:r>
              <w:t xml:space="preserve"> </w:t>
            </w:r>
            <w:r>
              <w:t xml:space="preserve">de configurar agentes/prompts/modelos e cadastrar novos MCP Servers</w:t>
            </w:r>
          </w:p>
        </w:tc>
        <w:tc>
          <w:p>
            <w:pPr>
              <w:pStyle w:val="Compact"/>
              <w:jc w:val="left"/>
            </w:pPr>
            <w:r>
              <w:t xml:space="preserve">Google Cloud Identity-Aware Proxy (IAP)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Orquestração da pipeline (steps 1-5)</w:t>
            </w:r>
          </w:p>
        </w:tc>
        <w:tc>
          <w:p>
            <w:pPr>
              <w:pStyle w:val="Compact"/>
              <w:jc w:val="left"/>
            </w:pPr>
            <w:r>
              <w:t xml:space="preserve">Execução durável / retries automáticos / dedup por Workflow ID</w:t>
            </w:r>
          </w:p>
        </w:tc>
        <w:tc>
          <w:p>
            <w:pPr>
              <w:pStyle w:val="Compact"/>
              <w:jc w:val="left"/>
            </w:pPr>
            <w:r>
              <w:t xml:space="preserve">Temporal.io (self-hosted, containerizado no GKE)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Orquestração de agentes</w:t>
            </w:r>
          </w:p>
        </w:tc>
        <w:tc>
          <w:p>
            <w:pPr>
              <w:pStyle w:val="Compact"/>
              <w:jc w:val="left"/>
            </w:pPr>
            <w:r>
              <w:t xml:space="preserve">Protocolo MCP — Spring MCP Client (Host) consome tools via</w:t>
            </w:r>
            <w:r>
              <w:t xml:space="preserve"> </w:t>
            </w:r>
            <w:r>
              <w:rPr>
                <w:rStyle w:val="VerbatimChar"/>
              </w:rPr>
              <w:t xml:space="preserve">@McpTool</w:t>
            </w:r>
            <w:r>
              <w:t xml:space="preserve">, transporte HTTP/SSE/Stdio</w:t>
            </w:r>
          </w:p>
        </w:tc>
        <w:tc>
          <w:p>
            <w:pPr>
              <w:pStyle w:val="Compact"/>
              <w:jc w:val="left"/>
            </w:pPr>
            <w:r>
              <w:t xml:space="preserve">Spring AI (MCP Client/Server starters)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Borda de API (entrada de negócio)</w:t>
            </w:r>
          </w:p>
        </w:tc>
        <w:tc>
          <w:p>
            <w:pPr>
              <w:pStyle w:val="Compact"/>
              <w:jc w:val="left"/>
            </w:pPr>
            <w:r>
              <w:t xml:space="preserve">API Gateway único — autenticação, rate limiting, roteamento; sem BFF (o Mobile App é o único canal com requisito distinto — RNF06, offline-first —, mas ainda opera sobre o mesmo contrato simples de disparo/consulta de status dos demais, sem exigir payload ou agregação diferente; não há hoje lógica condicional por canal que justifique a camada extra)</w:t>
            </w:r>
          </w:p>
        </w:tc>
        <w:tc>
          <w:p>
            <w:pPr>
              <w:pStyle w:val="Compact"/>
              <w:jc w:val="left"/>
            </w:pPr>
            <w:r>
              <w:t xml:space="preserve">Spring Cloud Gateway (mesma stack Spring/Java do resto do back end; integra nativamente com Spring Security para autenticação, sem introduzir mais uma linguagem/tecnologia no projeto)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 end (Tools API / MCP Service)</w:t>
            </w:r>
          </w:p>
        </w:tc>
        <w:tc>
          <w:p>
            <w:pPr>
              <w:pStyle w:val="Compact"/>
              <w:jc w:val="left"/>
            </w:pPr>
            <w:r>
              <w:t xml:space="preserve">API REST + Spring MCP Service (Server), regras de negócio e segurança/rate limiting sobre BigQuery/APIs</w:t>
            </w:r>
          </w:p>
        </w:tc>
        <w:tc>
          <w:p>
            <w:pPr>
              <w:pStyle w:val="Compact"/>
              <w:jc w:val="left"/>
            </w:pPr>
            <w:r>
              <w:t xml:space="preserve">Spring Boot 3.x + Spring MVC (Java 21 LTS)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 end (Web Console — uso interno)</w:t>
            </w:r>
          </w:p>
        </w:tc>
        <w:tc>
          <w:p>
            <w:pPr>
              <w:pStyle w:val="Compact"/>
              <w:jc w:val="left"/>
            </w:pPr>
            <w:r>
              <w:t xml:space="preserve">Single Page Application; compartilhada entre regulador e corretor de seguros (acompanhamento de status/histórico)</w:t>
            </w:r>
          </w:p>
        </w:tc>
        <w:tc>
          <w:p>
            <w:pPr>
              <w:pStyle w:val="Compact"/>
              <w:jc w:val="left"/>
            </w:pPr>
            <w:r>
              <w:t xml:space="preserve">React (TypeScript)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 end (Web Portal — uso externo)</w:t>
            </w:r>
          </w:p>
        </w:tc>
        <w:tc>
          <w:p>
            <w:pPr>
              <w:pStyle w:val="Compact"/>
              <w:jc w:val="left"/>
            </w:pPr>
            <w:r>
              <w:t xml:space="preserve">Single Page Application; aplicação separada do Web Console — fronteira externo/interno (ver justificativa abaixo)</w:t>
            </w:r>
          </w:p>
        </w:tc>
        <w:tc>
          <w:p>
            <w:pPr>
              <w:pStyle w:val="Compact"/>
              <w:jc w:val="left"/>
            </w:pPr>
            <w:r>
              <w:t xml:space="preserve">React (TypeScript)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 end (Agent Console — uso interno, técnico)</w:t>
            </w:r>
          </w:p>
        </w:tc>
        <w:tc>
          <w:p>
            <w:pPr>
              <w:pStyle w:val="Compact"/>
              <w:jc w:val="left"/>
            </w:pPr>
            <w:r>
              <w:t xml:space="preserve">Single Page Application dedicada ao administrador de plataforma (funcionário técnico/de negócio da seguradora); criação/configuração de agentes (prompt, modelo de LLM) e cadastro de MCP Servers — separada do Web Console (ver justificativa abaixo)</w:t>
            </w:r>
          </w:p>
        </w:tc>
        <w:tc>
          <w:p>
            <w:pPr>
              <w:pStyle w:val="Compact"/>
              <w:jc w:val="left"/>
            </w:pPr>
            <w:r>
              <w:t xml:space="preserve">React (TypeScript)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Mobile (App da Segurada)</w:t>
            </w:r>
          </w:p>
        </w:tc>
        <w:tc>
          <w:p>
            <w:pPr>
              <w:pStyle w:val="Compact"/>
              <w:jc w:val="left"/>
            </w:pPr>
            <w:r>
              <w:t xml:space="preserve">App multiplataforma com suporte offline-first</w:t>
            </w:r>
          </w:p>
        </w:tc>
        <w:tc>
          <w:p>
            <w:pPr>
              <w:pStyle w:val="Compact"/>
              <w:jc w:val="left"/>
            </w:pPr>
            <w:r>
              <w:t xml:space="preserve">React Native (TypeScript)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Notificação ativa (push/e-mail)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API de Notificação</w:t>
            </w:r>
            <w:r>
              <w:t xml:space="preserve"> </w:t>
            </w:r>
            <w:r>
              <w:t xml:space="preserve">própria — container dedicado, reutilizável por outros domínios de negócio (RF15), consumidor independente do evento final: e-mail para regulador/corretor, push mobile para a segurada</w:t>
            </w:r>
          </w:p>
        </w:tc>
        <w:tc>
          <w:p>
            <w:pPr>
              <w:pStyle w:val="Compact"/>
              <w:jc w:val="left"/>
            </w:pPr>
            <w:r>
              <w:t xml:space="preserve">Spring Boot + SendGrid (e-mail) + OneSignal (push)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Mensageria (notificação externa)</w:t>
            </w:r>
          </w:p>
        </w:tc>
        <w:tc>
          <w:p>
            <w:pPr>
              <w:pStyle w:val="Compact"/>
              <w:jc w:val="left"/>
            </w:pPr>
            <w:r>
              <w:t xml:space="preserve">Tópico com duas</w:t>
            </w:r>
            <w:r>
              <w:t xml:space="preserve"> </w:t>
            </w:r>
            <w:r>
              <w:rPr>
                <w:i/>
              </w:rPr>
              <w:t xml:space="preserve">subscriptions</w:t>
            </w:r>
            <w:r>
              <w:t xml:space="preserve"> </w:t>
            </w:r>
            <w:r>
              <w:t xml:space="preserve">independentes (API de Sinistros e API de Notificação), cada uma recebendo cópia completa da mensagem publicada — mesmo comportamento de</w:t>
            </w:r>
            <w:r>
              <w:t xml:space="preserve"> </w:t>
            </w:r>
            <w:r>
              <w:rPr>
                <w:i/>
              </w:rPr>
              <w:t xml:space="preserve">fanout</w:t>
            </w:r>
            <w:r>
              <w:t xml:space="preserve">, sem operar um broker próprio</w:t>
            </w:r>
          </w:p>
        </w:tc>
        <w:tc>
          <w:p>
            <w:pPr>
              <w:pStyle w:val="Compact"/>
              <w:jc w:val="left"/>
            </w:pPr>
            <w:r>
              <w:t xml:space="preserve">Google Cloud Pub/Sub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Geração de documento</w:t>
            </w:r>
          </w:p>
        </w:tc>
        <w:tc>
          <w:p>
            <w:pPr>
              <w:pStyle w:val="Compact"/>
              <w:jc w:val="left"/>
            </w:pPr>
            <w:r>
              <w:t xml:space="preserve">Integração com serviço de documentos</w:t>
            </w:r>
          </w:p>
        </w:tc>
        <w:tc>
          <w:p>
            <w:pPr>
              <w:pStyle w:val="Compact"/>
              <w:jc w:val="left"/>
            </w:pPr>
            <w:r>
              <w:t xml:space="preserve">Google Drive 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 do sistema</w:t>
            </w:r>
          </w:p>
        </w:tc>
        <w:tc>
          <w:p>
            <w:pPr>
              <w:pStyle w:val="Compact"/>
              <w:jc w:val="left"/>
            </w:pPr>
            <w:r>
              <w:t xml:space="preserve">Log estruturado centralizado (emissão / coleta / armazenamento / visualização)</w:t>
            </w:r>
          </w:p>
        </w:tc>
        <w:tc>
          <w:p>
            <w:pPr>
              <w:pStyle w:val="Compact"/>
              <w:jc w:val="left"/>
            </w:pPr>
            <w:r>
              <w:t xml:space="preserve">SLF4J/Logback (emissão) + Promtail (coleta) + Loki (armazenamento) + Grafana (dashboards)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Teste de Software</w:t>
            </w:r>
          </w:p>
        </w:tc>
        <w:tc>
          <w:p>
            <w:pPr>
              <w:pStyle w:val="Compact"/>
              <w:jc w:val="left"/>
            </w:pPr>
            <w:r>
              <w:t xml:space="preserve">Unitário / integração / contrato</w:t>
            </w:r>
          </w:p>
        </w:tc>
        <w:tc>
          <w:p>
            <w:pPr>
              <w:pStyle w:val="Compact"/>
              <w:jc w:val="left"/>
            </w:pPr>
            <w:r>
              <w:t xml:space="preserve">JUnit 5 + Mockito (back end);</w:t>
            </w:r>
            <w:r>
              <w:t xml:space="preserve"> </w:t>
            </w:r>
            <w:r>
              <w:rPr>
                <w:rStyle w:val="VerbatimChar"/>
              </w:rPr>
              <w:t xml:space="preserve">temporal-testing</w:t>
            </w:r>
            <w:r>
              <w:t xml:space="preserve"> </w:t>
            </w:r>
            <w:r>
              <w:t xml:space="preserve">(Temporal Test Server em memória, para testes de workflow sem subir o Temporal Server completo); Testcontainers (Postgres + Redis +</w:t>
            </w:r>
            <w:r>
              <w:t xml:space="preserve"> </w:t>
            </w:r>
            <w:r>
              <w:rPr>
                <w:b/>
              </w:rPr>
              <w:t xml:space="preserve">emulador Google Cloud Pub/Sub</w:t>
            </w:r>
            <w:r>
              <w:t xml:space="preserve">, em testes de integração); Jest + Testing Library (React/React Native)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Deploy</w:t>
            </w:r>
          </w:p>
        </w:tc>
        <w:tc>
          <w:p>
            <w:pPr>
              <w:pStyle w:val="Compact"/>
              <w:jc w:val="left"/>
            </w:pPr>
            <w:r>
              <w:t xml:space="preserve">Containerização + orquestração + CI/CD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Kubernetes (GKE — Google Kubernetes Engine)</w:t>
            </w:r>
            <w:r>
              <w:t xml:space="preserve"> </w:t>
            </w:r>
            <w:r>
              <w:t xml:space="preserve">em produção;</w:t>
            </w:r>
            <w:r>
              <w:t xml:space="preserve"> </w:t>
            </w:r>
            <w:r>
              <w:rPr>
                <w:b/>
              </w:rPr>
              <w:t xml:space="preserve">Docker Compose</w:t>
            </w:r>
            <w:r>
              <w:t xml:space="preserve"> </w:t>
            </w:r>
            <w:r>
              <w:t xml:space="preserve">para desenvolvimento e testes locais (Temporal Server, Postgres, Redis, Keycloak e emulador Pub/Sub containerizados — ver nota abaixo sobre Storage/BigQuery); GitHub Actions (build/test/publish de imagens, deploy via Helm/kubectl)</w:t>
            </w:r>
          </w:p>
        </w:tc>
      </w:tr>
    </w:tbl>
    <w:p>
      <w:pPr>
        <w:pStyle w:val="BlockText"/>
      </w:pPr>
      <w:r>
        <w:rPr>
          <w:b/>
        </w:rPr>
        <w:t xml:space="preserve">Decisões de stack consolidadas:</w:t>
      </w:r>
      <w:r>
        <w:t xml:space="preserve"> </w:t>
      </w:r>
      <w:r>
        <w:t xml:space="preserve">optou-se por</w:t>
      </w:r>
      <w:r>
        <w:t xml:space="preserve"> </w:t>
      </w:r>
      <w:r>
        <w:rPr>
          <w:b/>
        </w:rPr>
        <w:t xml:space="preserve">Temporal.io</w:t>
      </w:r>
      <w:r>
        <w:t xml:space="preserve"> </w:t>
      </w:r>
      <w:r>
        <w:t xml:space="preserve">(TEMPORAL TECHNOLOGIES, [s.d.]) como motor de orquestração da pipeline interna por oferecer execução durável com retries automáticos e</w:t>
      </w:r>
      <w:r>
        <w:t xml:space="preserve"> </w:t>
      </w:r>
      <w:r>
        <w:rPr>
          <w:b/>
        </w:rPr>
        <w:t xml:space="preserve">deduplicação nativa via Workflow ID</w:t>
      </w:r>
      <w:r>
        <w:t xml:space="preserve"> </w:t>
      </w:r>
      <w:r>
        <w:t xml:space="preserve">— dispensando um broker de mensageria entre os steps internos e uma solução própria de idempotência (ex. Redis com chave TTL) só para esse fim. O Temporal Server persiste seu estado no</w:t>
      </w:r>
      <w:r>
        <w:t xml:space="preserve"> </w:t>
      </w:r>
      <w:r>
        <w:rPr>
          <w:b/>
        </w:rPr>
        <w:t xml:space="preserve">Cloud SQL for PostgreSQL</w:t>
      </w:r>
      <w:r>
        <w:t xml:space="preserve"> </w:t>
      </w:r>
      <w:r>
        <w:t xml:space="preserve">já usado pela plataforma (suporte nativo, sem necessidade de Cassandra), simplificando a infraestrutura. Para a notificação externa final (Notifier → consumidores), optou-se pelo</w:t>
      </w:r>
      <w:r>
        <w:t xml:space="preserve"> </w:t>
      </w:r>
      <w:r>
        <w:rPr>
          <w:b/>
        </w:rPr>
        <w:t xml:space="preserve">Google Cloud Pub/Sub</w:t>
      </w:r>
      <w:r>
        <w:t xml:space="preserve"> </w:t>
      </w:r>
      <w:r>
        <w:t xml:space="preserve">em vez de um broker self-hosted: um único tópico com duas</w:t>
      </w:r>
      <w:r>
        <w:t xml:space="preserve"> </w:t>
      </w:r>
      <w:r>
        <w:rPr>
          <w:i/>
        </w:rPr>
        <w:t xml:space="preserve">subscriptions</w:t>
      </w:r>
      <w:r>
        <w:t xml:space="preserve"> </w:t>
      </w:r>
      <w:r>
        <w:t xml:space="preserve">independentes (API de Sinistros e API de Notificação), cada uma recebendo cópia completa de toda mensagem publicada — o mesmo comportamento de</w:t>
      </w:r>
      <w:r>
        <w:t xml:space="preserve"> </w:t>
      </w:r>
      <w:r>
        <w:rPr>
          <w:i/>
        </w:rPr>
        <w:t xml:space="preserve">fanout</w:t>
      </w:r>
      <w:r>
        <w:t xml:space="preserve"> </w:t>
      </w:r>
      <w:r>
        <w:t xml:space="preserve">que uma exchange RabbitMQ ofereceria, sem o ônus operacional de manter um broker (patching, HA, backup) por conta da plataforma. O filtro por área solicitante (RF13) continua não sendo feito pelo Pub/Sub; é aplicado na lógica de cada consumidor, a partir do</w:t>
      </w:r>
      <w:r>
        <w:t xml:space="preserve"> </w:t>
      </w:r>
      <w:r>
        <w:rPr>
          <w:rStyle w:val="VerbatimChar"/>
        </w:rPr>
        <w:t xml:space="preserve">sinistro_id</w:t>
      </w:r>
      <w:r>
        <w:t xml:space="preserve">/correlação presente no payload da mensagem. O</w:t>
      </w:r>
      <w:r>
        <w:t xml:space="preserve"> </w:t>
      </w:r>
      <w:r>
        <w:rPr>
          <w:b/>
        </w:rPr>
        <w:t xml:space="preserve">Memorystore for Redis</w:t>
      </w:r>
      <w:r>
        <w:t xml:space="preserve"> </w:t>
      </w:r>
      <w:r>
        <w:t xml:space="preserve">permanece na arquitetura com papel reduzido: cache de leitura para dados de apólice/sinistro consultados com frequência pela Tools API, reduzindo latência e custo de chamadas repetidas ao BigQuery/sistema legado. Para o estado operacional da plataforma (registro de solicitações, status, histórico consumido pelo Web Console) foi definido um banco relacional dedicado (</w:t>
      </w:r>
      <w:r>
        <w:rPr>
          <w:b/>
        </w:rPr>
        <w:t xml:space="preserve">Cloud SQL for PostgreSQL</w:t>
      </w:r>
      <w:r>
        <w:t xml:space="preserve">), já que o BigQuery — sendo um data warehouse analítico — não é adequado para carga transacional. Web Console e Mobile App foram unificados sob</w:t>
      </w:r>
      <w:r>
        <w:t xml:space="preserve"> </w:t>
      </w:r>
      <w:r>
        <w:rPr>
          <w:b/>
        </w:rPr>
        <w:t xml:space="preserve">React / React Native</w:t>
      </w:r>
      <w:r>
        <w:t xml:space="preserve">, compartilhando linguagem (TypeScript) e padrões de componente entre as duas frentes. Em produção, todo o stack de aplicação (apps, API Gateway, Keycloak, Temporal Server) roda em</w:t>
      </w:r>
      <w:r>
        <w:t xml:space="preserve"> </w:t>
      </w:r>
      <w:r>
        <w:rPr>
          <w:b/>
        </w:rPr>
        <w:t xml:space="preserve">Kubernetes (GKE — Google Kubernetes Engine)</w:t>
      </w:r>
      <w:r>
        <w:t xml:space="preserve">, com</w:t>
      </w:r>
      <w:r>
        <w:t xml:space="preserve"> </w:t>
      </w:r>
      <w:r>
        <w:rPr>
          <w:b/>
        </w:rPr>
        <w:t xml:space="preserve">Cloud SQL</w:t>
      </w:r>
      <w:r>
        <w:t xml:space="preserve">,</w:t>
      </w:r>
      <w:r>
        <w:t xml:space="preserve"> </w:t>
      </w:r>
      <w:r>
        <w:rPr>
          <w:b/>
        </w:rPr>
        <w:t xml:space="preserve">Memorystore</w:t>
      </w:r>
      <w:r>
        <w:t xml:space="preserve"> </w:t>
      </w:r>
      <w:r>
        <w:t xml:space="preserve">e</w:t>
      </w:r>
      <w:r>
        <w:t xml:space="preserve"> </w:t>
      </w:r>
      <w:r>
        <w:rPr>
          <w:b/>
        </w:rPr>
        <w:t xml:space="preserve">Pub/Sub</w:t>
      </w:r>
      <w:r>
        <w:t xml:space="preserve"> </w:t>
      </w:r>
      <w:r>
        <w:t xml:space="preserve">como serviços gerenciados — dispensando a operação manual de alta disponibilidade para os componentes com estado (bancos, cache, mensageria), o principal ganho de escalabilidade/disponibilidade da topologia (ver nota do RNF03 acima).</w:t>
      </w:r>
    </w:p>
    <w:p>
      <w:pPr>
        <w:pStyle w:val="BlockText"/>
      </w:pPr>
      <w:r>
        <w:rPr>
          <w:b/>
        </w:rPr>
        <w:t xml:space="preserve">Nota sobre o ambiente de desenvolvimento local:</w:t>
      </w:r>
      <w:r>
        <w:t xml:space="preserve"> </w:t>
      </w:r>
      <w:r>
        <w:t xml:space="preserve">um ponto de atenção da arquitetura é não deixar o time dependente de infraestrutura GCP real (custo, latência, credenciais) só para rodar e testar a plataforma no dia a dia — em especial a orquestração via</w:t>
      </w:r>
      <w:r>
        <w:t xml:space="preserve"> </w:t>
      </w:r>
      <w:r>
        <w:rPr>
          <w:b/>
        </w:rPr>
        <w:t xml:space="preserve">Temporal.io</w:t>
      </w:r>
      <w:r>
        <w:t xml:space="preserve">, que concentra a lógica mais sensível a bug (retries, dedup,</w:t>
      </w:r>
      <w:r>
        <w:t xml:space="preserve"> </w:t>
      </w:r>
      <w:r>
        <w:rPr>
          <w:i/>
        </w:rPr>
        <w:t xml:space="preserve">activities</w:t>
      </w:r>
      <w:r>
        <w:t xml:space="preserve">). Por isso o Docker Compose de desenvolvimento reproduz localmente, com fidelidade real (mesmo software, não simulação), tudo que tem uma contrapartida open-source containerizável: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Temporal Server</w:t>
      </w:r>
      <w:r>
        <w:t xml:space="preserve"> </w:t>
      </w:r>
      <w:r>
        <w:t xml:space="preserve">(imagem oficial</w:t>
      </w:r>
      <w:r>
        <w:t xml:space="preserve"> </w:t>
      </w:r>
      <w:r>
        <w:rPr>
          <w:rStyle w:val="VerbatimChar"/>
        </w:rPr>
        <w:t xml:space="preserve">temporalio/auto-setup</w:t>
      </w:r>
      <w:r>
        <w:t xml:space="preserve">, com seu próprio schema de histórico) — permite reproduzir localmente o comportamento real de execução durável, retries e deduplicação por Workflow ID, sem depender de conta GCP;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PostgreSQL</w:t>
      </w:r>
      <w:r>
        <w:t xml:space="preserve"> </w:t>
      </w:r>
      <w:r>
        <w:t xml:space="preserve">e</w:t>
      </w:r>
      <w:r>
        <w:t xml:space="preserve"> </w:t>
      </w:r>
      <w:r>
        <w:rPr>
          <w:b/>
        </w:rPr>
        <w:t xml:space="preserve">Redis</w:t>
      </w:r>
      <w:r>
        <w:t xml:space="preserve"> </w:t>
      </w:r>
      <w:r>
        <w:t xml:space="preserve">— Cloud SQL for PostgreSQL e Memorystore for Redis são apenas hospedagem gerenciada dos bancos open-source correspondentes, falando o protocolo padrão de cada um (wire protocol do Postgres, RESP do Redis); um container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/</w:t>
      </w:r>
      <w:r>
        <w:rPr>
          <w:rStyle w:val="VerbatimChar"/>
        </w:rPr>
        <w:t xml:space="preserve">redis</w:t>
      </w:r>
      <w:r>
        <w:t xml:space="preserve"> </w:t>
      </w:r>
      <w:r>
        <w:t xml:space="preserve">comum já é 100% compatível — a aplicação não distingue se fala com a instância gerenciada ou com o container local, além de host/porta de conexão;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Keycloak</w:t>
      </w:r>
      <w:r>
        <w:t xml:space="preserve"> </w:t>
      </w:r>
      <w:r>
        <w:t xml:space="preserve">e</w:t>
      </w:r>
      <w:r>
        <w:t xml:space="preserve"> </w:t>
      </w:r>
      <w:r>
        <w:rPr>
          <w:b/>
        </w:rPr>
        <w:t xml:space="preserve">Grafana/Loki/Promtail</w:t>
      </w:r>
      <w:r>
        <w:t xml:space="preserve"> </w:t>
      </w:r>
      <w:r>
        <w:t xml:space="preserve">— mesmas imagens self-hosted usadas como referência para o comportamento em produção;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Pub/Sub</w:t>
      </w:r>
      <w:r>
        <w:t xml:space="preserve"> </w:t>
      </w:r>
      <w:r>
        <w:t xml:space="preserve">— via</w:t>
      </w:r>
      <w:r>
        <w:t xml:space="preserve"> </w:t>
      </w:r>
      <w:r>
        <w:rPr>
          <w:b/>
        </w:rPr>
        <w:t xml:space="preserve">emulador oficial do Google</w:t>
      </w:r>
      <w:r>
        <w:t xml:space="preserve"> </w:t>
      </w:r>
      <w:r>
        <w:t xml:space="preserve">(</w:t>
      </w:r>
      <w:r>
        <w:rPr>
          <w:rStyle w:val="VerbatimChar"/>
        </w:rPr>
        <w:t xml:space="preserve">gcloud-pubsub-emulator</w:t>
      </w:r>
      <w:r>
        <w:t xml:space="preserve">), não um container Pub/Sub genérico: por expor uma API proprietária (gRPC/REST) sem equivalente open-source que fale o mesmo protocolo, é o único componente desta lista que precisa de um</w:t>
      </w:r>
      <w:r>
        <w:t xml:space="preserve"> </w:t>
      </w:r>
      <w:r>
        <w:rPr>
          <w:i/>
        </w:rPr>
        <w:t xml:space="preserve">emulador</w:t>
      </w:r>
      <w:r>
        <w:t xml:space="preserve"> </w:t>
      </w:r>
      <w:r>
        <w:t xml:space="preserve">(e não do software real) para ser reproduzido localmente.</w:t>
      </w:r>
    </w:p>
    <w:p>
      <w:pPr>
        <w:pStyle w:val="BlockText"/>
      </w:pPr>
      <w:r>
        <w:t xml:space="preserve">Já</w:t>
      </w:r>
      <w:r>
        <w:t xml:space="preserve"> </w:t>
      </w:r>
      <w:r>
        <w:rPr>
          <w:b/>
        </w:rPr>
        <w:t xml:space="preserve">Cloud Storage (GCS)</w:t>
      </w:r>
      <w:r>
        <w:t xml:space="preserve"> </w:t>
      </w:r>
      <w:r>
        <w:t xml:space="preserve">e</w:t>
      </w:r>
      <w:r>
        <w:t xml:space="preserve"> </w:t>
      </w:r>
      <w:r>
        <w:rPr>
          <w:b/>
        </w:rPr>
        <w:t xml:space="preserve">BigQuery</w:t>
      </w:r>
      <w:r>
        <w:t xml:space="preserve"> </w:t>
      </w:r>
      <w:r>
        <w:t xml:space="preserve">não têm uma opção de simulação local oficial com fidelidade equivalente — BigQuery, em particular, não possui emulador mantido pelo Google, e o próprio dado consultado (data warehouse corporativo da seguradora) não existe fora do GCP real. Nesses dois casos, a estratégia adotada é diferente: em vez de simular, o</w:t>
      </w:r>
      <w:r>
        <w:t xml:space="preserve"> </w:t>
      </w:r>
      <w:r>
        <w:rPr>
          <w:b/>
        </w:rPr>
        <w:t xml:space="preserve">profile de configuração local/dev</w:t>
      </w:r>
      <w:r>
        <w:t xml:space="preserve"> </w:t>
      </w:r>
      <w:r>
        <w:t xml:space="preserve">(Spring Profiles) aponta os endpoints/credenciais da aplicação para um</w:t>
      </w:r>
      <w:r>
        <w:t xml:space="preserve"> </w:t>
      </w:r>
      <w:r>
        <w:rPr>
          <w:b/>
        </w:rPr>
        <w:t xml:space="preserve">ambiente de homologação real no GCP</w:t>
      </w:r>
      <w:r>
        <w:t xml:space="preserve"> </w:t>
      </w:r>
      <w:r>
        <w:t xml:space="preserve">— um projeto GCP de staging, isolado do de produção, com dado de teste — usado só para os componentes sem simulação viável. Resumindo o critério: tudo que roda localmente com fidelidade (Temporal, Postgres, Redis, Pub/Sub via emulador) entra no Docker Compose; o que não dá para reproduzir localmente (Storage, BigQuery) usa profile apontando para homologação, mantendo o restante do ambiente 100% local.</w:t>
      </w:r>
    </w:p>
    <w:p>
      <w:pPr>
        <w:pStyle w:val="BlockText"/>
      </w:pPr>
      <w:r>
        <w:rPr>
          <w:b/>
        </w:rPr>
        <w:t xml:space="preserve">Por que Web Console e Web Portal são aplicações separadas (e não uma só):</w:t>
      </w:r>
      <w:r>
        <w:t xml:space="preserve"> </w:t>
      </w:r>
      <w:r>
        <w:t xml:space="preserve">o Web Portal atende a</w:t>
      </w:r>
      <w:r>
        <w:t xml:space="preserve"> </w:t>
      </w:r>
      <w:r>
        <w:rPr>
          <w:b/>
        </w:rPr>
        <w:t xml:space="preserve">segurada</w:t>
      </w:r>
      <w:r>
        <w:t xml:space="preserve">, uma</w:t>
      </w:r>
      <w:r>
        <w:t xml:space="preserve"> </w:t>
      </w:r>
      <w:r>
        <w:rPr>
          <w:b/>
        </w:rPr>
        <w:t xml:space="preserve">usuária externa</w:t>
      </w:r>
      <w:r>
        <w:t xml:space="preserve">, o que é uma fronteira arquitetural mais forte que</w:t>
      </w:r>
      <w:r>
        <w:t xml:space="preserve"> </w:t>
      </w:r>
      <w:r>
        <w:t xml:space="preserve">“</w:t>
      </w:r>
      <w:r>
        <w:t xml:space="preserve">papéis diferentes dentro da mesma organização</w:t>
      </w:r>
      <w:r>
        <w:t xml:space="preserve">”</w:t>
      </w:r>
      <w:r>
        <w:t xml:space="preserve">: (1)</w:t>
      </w:r>
      <w:r>
        <w:t xml:space="preserve"> </w:t>
      </w:r>
      <w:r>
        <w:rPr>
          <w:b/>
        </w:rPr>
        <w:t xml:space="preserve">autenticação distinta</w:t>
      </w:r>
      <w:r>
        <w:t xml:space="preserve"> </w:t>
      </w:r>
      <w:r>
        <w:t xml:space="preserve">— a segurada tipicamente entra por CPF/número de apólice, não pela SSO corporativa usada por regulador/corretor/administrador; (2)</w:t>
      </w:r>
      <w:r>
        <w:t xml:space="preserve"> </w:t>
      </w:r>
      <w:r>
        <w:rPr>
          <w:b/>
        </w:rPr>
        <w:t xml:space="preserve">postura de segurança distinta</w:t>
      </w:r>
      <w:r>
        <w:t xml:space="preserve"> </w:t>
      </w:r>
      <w:r>
        <w:t xml:space="preserve">— uma aplicação exposta a clientes externos exige controles de borda (rate limiting mais restritivo, superfície de ataque isolada) diferentes de uma aplicação de uso interno, e uma eventual vulnerabilidade em um dos apps não compromete o outro; (3)</w:t>
      </w:r>
      <w:r>
        <w:t xml:space="preserve"> </w:t>
      </w:r>
      <w:r>
        <w:rPr>
          <w:b/>
        </w:rPr>
        <w:t xml:space="preserve">ciclos de release independentes</w:t>
      </w:r>
      <w:r>
        <w:t xml:space="preserve"> </w:t>
      </w:r>
      <w:r>
        <w:t xml:space="preserve">— o Web Portal evolui no ritmo da experiência do cliente (produto/UX), enquanto o Web Console evolui no ritmo das necessidades operacionais internas. Unificar os dois exigiria conciliar esses requisitos divergentes em uma única aplicação, aumentando o acoplamento sem um ganho real de simplicidade.</w:t>
      </w:r>
    </w:p>
    <w:p>
      <w:pPr>
        <w:pStyle w:val="BlockText"/>
      </w:pPr>
      <w:r>
        <w:rPr>
          <w:b/>
        </w:rPr>
        <w:t xml:space="preserve">Por que o Agent Console também é uma aplicação separada (e não uma área restrita dentro do Web Console):</w:t>
      </w:r>
      <w:r>
        <w:t xml:space="preserve"> </w:t>
      </w:r>
      <w:r>
        <w:t xml:space="preserve">ao contrário de regulador e corretor — que usam o Web Console para a mesma tarefa (acompanhar status/histórico), diferindo só no escopo de sinistros que enxergam — o administrador de plataforma exerce uma função de</w:t>
      </w:r>
      <w:r>
        <w:t xml:space="preserve"> </w:t>
      </w:r>
      <w:r>
        <w:rPr>
          <w:b/>
        </w:rPr>
        <w:t xml:space="preserve">domínio técnico</w:t>
      </w:r>
      <w:r>
        <w:t xml:space="preserve"> </w:t>
      </w:r>
      <w:r>
        <w:t xml:space="preserve">(configurar agentes, modelos de LLM e integrações MCP), tipicamente exercida por funcionários técnicos/de negócio da seguradora, não pelo público operacional de regulador/corretor. Misturar as duas coisas num único app com RBAC exigiria expor, no mesmo bundle front-end, telas e chamadas de API de um domínio completamente diferente (configuração de infraestrutura de IA) para um público que nunca deveria precisar disso — aumentando a superfície de ataque do console operacional sem necessidade, e acoplando o ciclo de release de uma tela usada raramente (configuração) ao de uma usada todo dia (acompanhamento de status). Separar em um</w:t>
      </w:r>
      <w:r>
        <w:t xml:space="preserve"> </w:t>
      </w:r>
      <w:r>
        <w:rPr>
          <w:b/>
        </w:rPr>
        <w:t xml:space="preserve">Agent Console</w:t>
      </w:r>
      <w:r>
        <w:t xml:space="preserve"> </w:t>
      </w:r>
      <w:r>
        <w:t xml:space="preserve">próprio isola essa superfície tecnicamente mais sensível, mantendo o mesmo raciocínio de fronteira de confiança já aplicado ao Web Portal.</w:t>
      </w:r>
    </w:p>
    <w:p>
      <w:pPr>
        <w:pStyle w:val="BlockText"/>
      </w:pPr>
      <w:r>
        <w:rPr>
          <w:b/>
        </w:rPr>
        <w:t xml:space="preserve">Por que o Agent Console tem uma restrição de acesso de rede adicional (IAP), além do login:</w:t>
      </w:r>
      <w:r>
        <w:t xml:space="preserve"> </w:t>
      </w:r>
      <w:r>
        <w:t xml:space="preserve">por concentrar a superfície mais sensível da arquitetura — configuração de prompts, modelos de LLM, chaves de API e cadastro de novos MCP Servers —, o Agent Console recebe uma camada de defesa em profundidade que os demais front ends não têm: o</w:t>
      </w:r>
      <w:r>
        <w:t xml:space="preserve"> </w:t>
      </w:r>
      <w:r>
        <w:rPr>
          <w:b/>
        </w:rPr>
        <w:t xml:space="preserve">Google Cloud Identity-Aware Proxy (IAP)</w:t>
      </w:r>
      <w:r>
        <w:t xml:space="preserve"> </w:t>
      </w:r>
      <w:r>
        <w:t xml:space="preserve">é posicionado na borda do seu Ingress no GKE, de forma que a aplicação simplesmente não é alcançável por um IP não autorizado, mesmo antes de qualquer tentativa de login. Optou-se por IAP em vez de uma VPN dedicada por dois motivos: reaproveita a mesma identidade federada já usada pelo SSO corporativo/Keycloak (sem exigir cliente de VPN nem infraestrutura de rede adicional para o administrador) e é nativo do GCP, já provedor único da plataforma (R2) — mesmo raciocínio de reuso de infraestrutura já aplicado ao restante da arquitetura.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modelagem-arquitetural"/>
      <w:r>
        <w:t xml:space="preserve">3. Modelagem Arquitetural</w:t>
      </w:r>
      <w:bookmarkEnd w:id="30"/>
    </w:p>
    <w:p>
      <w:pPr>
        <w:pStyle w:val="FirstParagraph"/>
      </w:pPr>
      <w:r>
        <w:rPr>
          <w:i/>
        </w:rPr>
        <w:t xml:space="preserve">(Modelo C4 — https://c4model.com/)</w:t>
      </w:r>
    </w:p>
    <w:p>
      <w:pPr>
        <w:pStyle w:val="Heading3"/>
      </w:pPr>
      <w:bookmarkStart w:id="31" w:name="diagrama-de-contexto"/>
      <w:r>
        <w:t xml:space="preserve">3.1 Diagrama de Contexto</w:t>
      </w:r>
      <w:bookmarkEnd w:id="31"/>
    </w:p>
    <w:p>
      <w:pPr>
        <w:pStyle w:val="FirstParagraph"/>
      </w:pPr>
      <w:r>
        <w:rPr>
          <w:i/>
        </w:rPr>
        <w:t xml:space="preserve">(CA-1.6 — não precisa ser UML, deve ser claro e completo)</w:t>
      </w:r>
    </w:p>
    <w:p>
      <w:pPr>
        <w:pStyle w:val="BodyText"/>
      </w:pPr>
      <w:r>
        <w:rPr>
          <w:rStyle w:val="VerbatimChar"/>
        </w:rPr>
        <w:t xml:space="preserve">RASCUNHO — versão final deve ser redesenhada em ferramenta C4 (Structurizr/draw.io) para o PDF de entrega.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Segurada["Segurada&lt;br/&gt;(via app mobile ou web portal)"]</w:t>
      </w:r>
      <w:r>
        <w:br/>
      </w:r>
      <w:r>
        <w:rPr>
          <w:rStyle w:val="VerbatimChar"/>
        </w:rPr>
        <w:t xml:space="preserve">    Area["Regulador de Sinistros&lt;br/&gt;(via web console)"]</w:t>
      </w:r>
      <w:r>
        <w:br/>
      </w:r>
      <w:r>
        <w:rPr>
          <w:rStyle w:val="VerbatimChar"/>
        </w:rPr>
        <w:t xml:space="preserve">    Corretor["Corretor de Seguros&lt;br/&gt;(via web console)"]</w:t>
      </w:r>
      <w:r>
        <w:br/>
      </w:r>
      <w:r>
        <w:rPr>
          <w:rStyle w:val="VerbatimChar"/>
        </w:rPr>
        <w:t xml:space="preserve">    PlatAdmin["Administrador de Plataforma&lt;br/&gt;(via Agent Console)"]</w:t>
      </w:r>
      <w:r>
        <w:br/>
      </w:r>
      <w:r>
        <w:rPr>
          <w:rStyle w:val="VerbatimChar"/>
        </w:rPr>
        <w:t xml:space="preserve">    Workflow["Sistema de Workflow/BPM&lt;br/&gt;(existente na seguradora)"]</w:t>
      </w:r>
      <w:r>
        <w:br/>
      </w:r>
      <w:r>
        <w:rPr>
          <w:rStyle w:val="VerbatimChar"/>
        </w:rPr>
        <w:t xml:space="preserve">    Plataforma["RelatoSeg&lt;br/&gt;Plataforma de Orquestração de Agentes de IA"]</w:t>
      </w:r>
      <w:r>
        <w:br/>
      </w:r>
      <w:r>
        <w:rPr>
          <w:rStyle w:val="VerbatimChar"/>
        </w:rPr>
        <w:t xml:space="preserve">    DW["Data Warehouse Corporativo&lt;br/&gt;(apólices e sinistros — ex.: BigQuery)"]</w:t>
      </w:r>
      <w:r>
        <w:br/>
      </w:r>
      <w:r>
        <w:rPr>
          <w:rStyle w:val="VerbatimChar"/>
        </w:rPr>
        <w:t xml:space="preserve">    Servicos["Sistema de Apólices e Sinistros&lt;br/&gt;(sistemas internos da seguradora)"]</w:t>
      </w:r>
      <w:r>
        <w:br/>
      </w:r>
      <w:r>
        <w:rPr>
          <w:rStyle w:val="VerbatimChar"/>
        </w:rPr>
        <w:t xml:space="preserve">    Docs["Serviço de Documentos&lt;br/&gt;(ex.: Google Drive)"]</w:t>
      </w:r>
      <w:r>
        <w:br/>
      </w:r>
      <w:r>
        <w:rPr>
          <w:rStyle w:val="VerbatimChar"/>
        </w:rPr>
        <w:t xml:space="preserve">    SSOCorp["SSO Corporativo&lt;br/&gt;(existente na seguradora)"]</w:t>
      </w:r>
      <w:r>
        <w:br/>
      </w:r>
      <w:r>
        <w:rPr>
          <w:rStyle w:val="VerbatimChar"/>
        </w:rPr>
        <w:t xml:space="preserve">    LLM["Provedor de LLM&lt;br/&gt;(ex.: OpenAI, Anthropic, Gemini)"]</w:t>
      </w:r>
      <w:r>
        <w:br/>
      </w:r>
      <w:r>
        <w:br/>
      </w:r>
      <w:r>
        <w:rPr>
          <w:rStyle w:val="VerbatimChar"/>
        </w:rPr>
        <w:t xml:space="preserve">    Segurada --&gt;|envia fotos e dados do dano| Plataforma</w:t>
      </w:r>
      <w:r>
        <w:br/>
      </w:r>
      <w:r>
        <w:rPr>
          <w:rStyle w:val="VerbatimChar"/>
        </w:rPr>
        <w:t xml:space="preserve">    Area --&gt;|solicita análise do sinistro| Workflow</w:t>
      </w:r>
      <w:r>
        <w:br/>
      </w:r>
      <w:r>
        <w:rPr>
          <w:rStyle w:val="VerbatimChar"/>
        </w:rPr>
        <w:t xml:space="preserve">    Workflow --&gt;|dispara geração| Plataforma</w:t>
      </w:r>
      <w:r>
        <w:br/>
      </w:r>
      <w:r>
        <w:rPr>
          <w:rStyle w:val="VerbatimChar"/>
        </w:rPr>
        <w:t xml:space="preserve">    Plataforma --&gt;|atualiza status| Workflow</w:t>
      </w:r>
      <w:r>
        <w:br/>
      </w:r>
      <w:r>
        <w:rPr>
          <w:rStyle w:val="VerbatimChar"/>
        </w:rPr>
        <w:t xml:space="preserve">    Area --&gt;|acompanha status| Plataforma</w:t>
      </w:r>
      <w:r>
        <w:br/>
      </w:r>
      <w:r>
        <w:rPr>
          <w:rStyle w:val="VerbatimChar"/>
        </w:rPr>
        <w:t xml:space="preserve">    Corretor --&gt;|acompanha status dos sinistros do cliente| Plataforma</w:t>
      </w:r>
      <w:r>
        <w:br/>
      </w:r>
      <w:r>
        <w:rPr>
          <w:rStyle w:val="VerbatimChar"/>
        </w:rPr>
        <w:t xml:space="preserve">    PlatAdmin --&gt;|cria e configura agentes, cadastra MCP Servers| Plataforma</w:t>
      </w:r>
      <w:r>
        <w:br/>
      </w:r>
      <w:r>
        <w:rPr>
          <w:rStyle w:val="VerbatimChar"/>
        </w:rPr>
        <w:t xml:space="preserve">    Plataforma --&gt;|"federa identidade (usuários internos)"| SSOCorp</w:t>
      </w:r>
      <w:r>
        <w:br/>
      </w:r>
      <w:r>
        <w:rPr>
          <w:rStyle w:val="VerbatimChar"/>
        </w:rPr>
        <w:t xml:space="preserve">    Plataforma --&gt;|consulta dados estruturados| DW</w:t>
      </w:r>
      <w:r>
        <w:br/>
      </w:r>
      <w:r>
        <w:rPr>
          <w:rStyle w:val="VerbatimChar"/>
        </w:rPr>
        <w:t xml:space="preserve">    Plataforma --&gt;|"consulta documentos (laudos periciais)"| Servicos</w:t>
      </w:r>
      <w:r>
        <w:br/>
      </w:r>
      <w:r>
        <w:rPr>
          <w:rStyle w:val="VerbatimChar"/>
        </w:rPr>
        <w:t xml:space="preserve">    Plataforma --&gt;|gera parecer/documento| Docs</w:t>
      </w:r>
      <w:r>
        <w:br/>
      </w:r>
      <w:r>
        <w:rPr>
          <w:rStyle w:val="VerbatimChar"/>
        </w:rPr>
        <w:t xml:space="preserve">    Plataforma --&gt;|"invoca agente (chat completion)"| LLM</w:t>
      </w:r>
      <w:r>
        <w:br/>
      </w:r>
      <w:r>
        <w:rPr>
          <w:rStyle w:val="VerbatimChar"/>
        </w:rPr>
        <w:t xml:space="preserve">    Plataforma --&gt;|"notifica por e-mail (conclusão/erro)"| Area</w:t>
      </w:r>
      <w:r>
        <w:br/>
      </w:r>
      <w:r>
        <w:rPr>
          <w:rStyle w:val="VerbatimChar"/>
        </w:rPr>
        <w:t xml:space="preserve">    Plataforma --&gt;|"notifica por e-mail (conclusão/erro)"| Corretor</w:t>
      </w:r>
      <w:r>
        <w:br/>
      </w:r>
      <w:r>
        <w:rPr>
          <w:rStyle w:val="VerbatimChar"/>
        </w:rPr>
        <w:t xml:space="preserve">    Plataforma --&gt;|"push notification (resultado)"| Segurada</w:t>
      </w:r>
    </w:p>
    <w:p>
      <w:pPr>
        <w:pStyle w:val="FirstParagraph"/>
      </w:pPr>
      <w:r>
        <w:t xml:space="preserve">A segurada pode enviar fotos e informações do dano diretamente pelo aplicativo mobile ou pelo web portal (aplicações separadas do Web Console interno — ver justificativa na seção 2.4), disparando a análise (entrada self-service). Alternativamente, o regulador de sinistros solicita a análise através do sistema de Workflow/BPM já existente na seguradora, que dispara a Plataforma RelatoSeg — comunicação bidirecional, já que a Plataforma também atualiza o Workflow/BPM com o status da análise. Regulador e corretor de seguros usam o Web Console para acompanhar o status das análises; o administrador de plataforma — funcionário técnico/de negócio da seguradora — usa uma aplicação separada, o</w:t>
      </w:r>
      <w:r>
        <w:t xml:space="preserve"> </w:t>
      </w:r>
      <w:r>
        <w:rPr>
          <w:b/>
        </w:rPr>
        <w:t xml:space="preserve">Agent Console</w:t>
      </w:r>
      <w:r>
        <w:t xml:space="preserve"> </w:t>
      </w:r>
      <w:r>
        <w:t xml:space="preserve">(ver justificativa na seção 2.4), para criar/configurar agentes, modelos de LLM e prompts, e cadastrar novos MCP Servers. Em todos os casos, a plataforma orquestra os agentes de IA — invocando o</w:t>
      </w:r>
      <w:r>
        <w:t xml:space="preserve"> </w:t>
      </w:r>
      <w:r>
        <w:rPr>
          <w:b/>
        </w:rPr>
        <w:t xml:space="preserve">provedor de LLM</w:t>
      </w:r>
      <w:r>
        <w:t xml:space="preserve"> </w:t>
      </w:r>
      <w:r>
        <w:t xml:space="preserve">contratado para cada chamada de chat completion —, consulta as fontes de dados da apólice e do sinistro (estruturadas no data warehouse, documentais como laudos periciais nos sistemas internos), gera o parecer final e notifica ativamente ao término do processo (sucesso ou erro): por e-mail para regulador e corretor, por push notification para a segurada — além de o resultado ficar sempre disponível sob consulta nos respectivos consoles.</w:t>
      </w:r>
    </w:p>
    <w:p>
      <w:pPr>
        <w:pStyle w:val="Heading3"/>
      </w:pPr>
      <w:bookmarkStart w:id="32" w:name="diagrama-de-container"/>
      <w:r>
        <w:t xml:space="preserve">3.2 Diagrama de Container</w:t>
      </w:r>
      <w:bookmarkEnd w:id="32"/>
    </w:p>
    <w:p>
      <w:pPr>
        <w:pStyle w:val="FirstParagraph"/>
      </w:pPr>
      <w:r>
        <w:rPr>
          <w:i/>
        </w:rPr>
        <w:t xml:space="preserve">(CA-1.7 — segundo o C4 model)</w:t>
      </w:r>
    </w:p>
    <w:p>
      <w:pPr>
        <w:pStyle w:val="BodyText"/>
      </w:pPr>
      <w:r>
        <w:rPr>
          <w:rStyle w:val="VerbatimChar"/>
        </w:rPr>
        <w:t xml:space="preserve">RASCUNHO — versão final deve ser redesenhada em ferramenta C4 (Structurizr/draw.io) para o PDF de entrega.</w:t>
      </w:r>
    </w:p>
    <w:p>
      <w:pPr>
        <w:pStyle w:val="BlockText"/>
      </w:pPr>
      <w:r>
        <w:rPr>
          <w:b/>
        </w:rPr>
        <w:t xml:space="preserve">Nota:</w:t>
      </w:r>
      <w:r>
        <w:t xml:space="preserve"> </w:t>
      </w:r>
      <w:r>
        <w:t xml:space="preserve">o Diagrama de Container é apresentado em três</w:t>
      </w:r>
      <w:r>
        <w:t xml:space="preserve"> </w:t>
      </w:r>
      <w:r>
        <w:rPr>
          <w:i/>
        </w:rPr>
        <w:t xml:space="preserve">views</w:t>
      </w:r>
      <w:r>
        <w:t xml:space="preserve"> </w:t>
      </w:r>
      <w:r>
        <w:t xml:space="preserve">complementares — prática aceita pelo C4 model quando um único diagrama fica denso demais para permanecer legível (aqui seriam ~22 containers e ~52 relações num só grafo).</w:t>
      </w:r>
      <w:r>
        <w:t xml:space="preserve"> </w:t>
      </w:r>
      <w:r>
        <w:rPr>
          <w:b/>
        </w:rPr>
        <w:t xml:space="preserve">3.2.1</w:t>
      </w:r>
      <w:r>
        <w:t xml:space="preserve"> </w:t>
      </w:r>
      <w:r>
        <w:t xml:space="preserve">cobre a entrada de negócio (autenticação, roteamento, gatilho da orquestração);</w:t>
      </w:r>
      <w:r>
        <w:t xml:space="preserve"> </w:t>
      </w:r>
      <w:r>
        <w:rPr>
          <w:b/>
        </w:rPr>
        <w:t xml:space="preserve">3.2.2</w:t>
      </w:r>
      <w:r>
        <w:t xml:space="preserve"> </w:t>
      </w:r>
      <w:r>
        <w:t xml:space="preserve">cobre o processamento orquestrado pelo Temporal (steps 1-4: coleta e consolidação);</w:t>
      </w:r>
      <w:r>
        <w:t xml:space="preserve"> </w:t>
      </w:r>
      <w:r>
        <w:rPr>
          <w:b/>
        </w:rPr>
        <w:t xml:space="preserve">3.2.3</w:t>
      </w:r>
      <w:r>
        <w:t xml:space="preserve"> </w:t>
      </w:r>
      <w:r>
        <w:t xml:space="preserve">cobre a notificação final (step 5) e os dois consumidores independentes do resultado. Containers como</w:t>
      </w:r>
      <w:r>
        <w:t xml:space="preserve"> </w:t>
      </w:r>
      <w:r>
        <w:rPr>
          <w:b/>
        </w:rPr>
        <w:t xml:space="preserve">API de Sinistros</w:t>
      </w:r>
      <w:r>
        <w:t xml:space="preserve">,</w:t>
      </w:r>
      <w:r>
        <w:t xml:space="preserve"> </w:t>
      </w:r>
      <w:r>
        <w:rPr>
          <w:b/>
        </w:rPr>
        <w:t xml:space="preserve">MCP Host</w:t>
      </w:r>
      <w:r>
        <w:t xml:space="preserve">,</w:t>
      </w:r>
      <w:r>
        <w:t xml:space="preserve"> </w:t>
      </w:r>
      <w:r>
        <w:rPr>
          <w:b/>
        </w:rPr>
        <w:t xml:space="preserve">Keycloak</w:t>
      </w:r>
      <w:r>
        <w:t xml:space="preserve">,</w:t>
      </w:r>
      <w:r>
        <w:t xml:space="preserve"> </w:t>
      </w:r>
      <w:r>
        <w:rPr>
          <w:b/>
        </w:rPr>
        <w:t xml:space="preserve">Gateway</w:t>
      </w:r>
      <w:r>
        <w:t xml:space="preserve"> </w:t>
      </w:r>
      <w:r>
        <w:t xml:space="preserve">e</w:t>
      </w:r>
      <w:r>
        <w:t xml:space="preserve"> </w:t>
      </w:r>
      <w:r>
        <w:rPr>
          <w:b/>
        </w:rPr>
        <w:t xml:space="preserve">Temporal Server</w:t>
      </w:r>
      <w:r>
        <w:t xml:space="preserve"> </w:t>
      </w:r>
      <w:r>
        <w:t xml:space="preserve">reaparecem como nós de fronteira entre</w:t>
      </w:r>
      <w:r>
        <w:t xml:space="preserve"> </w:t>
      </w:r>
      <w:r>
        <w:rPr>
          <w:i/>
        </w:rPr>
        <w:t xml:space="preserve">views</w:t>
      </w:r>
      <w:r>
        <w:t xml:space="preserve"> </w:t>
      </w:r>
      <w:r>
        <w:t xml:space="preserve">quando participam de mais de um fluxo — prática normal no C4 model.</w:t>
      </w:r>
    </w:p>
    <w:p>
      <w:pPr>
        <w:pStyle w:val="Heading4"/>
      </w:pPr>
      <w:bookmarkStart w:id="33" w:name="entrada-autenticação-e-roteamento"/>
      <w:r>
        <w:t xml:space="preserve">3.2.1 Entrada, Autenticação e Roteamento</w:t>
      </w:r>
      <w:bookmarkEnd w:id="33"/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Segurada["Segurada"]</w:t>
      </w:r>
      <w:r>
        <w:br/>
      </w:r>
      <w:r>
        <w:rPr>
          <w:rStyle w:val="VerbatimChar"/>
        </w:rPr>
        <w:t xml:space="preserve">    Regulador["Regulador de Sinistros"]</w:t>
      </w:r>
      <w:r>
        <w:br/>
      </w:r>
      <w:r>
        <w:rPr>
          <w:rStyle w:val="VerbatimChar"/>
        </w:rPr>
        <w:t xml:space="preserve">    Corretor["Corretor de Seguros"]</w:t>
      </w:r>
      <w:r>
        <w:br/>
      </w:r>
      <w:r>
        <w:rPr>
          <w:rStyle w:val="VerbatimChar"/>
        </w:rPr>
        <w:t xml:space="preserve">    PlatAdmin["Administrador de Plataforma"]</w:t>
      </w:r>
      <w:r>
        <w:br/>
      </w:r>
      <w:r>
        <w:rPr>
          <w:rStyle w:val="VerbatimChar"/>
        </w:rPr>
        <w:t xml:space="preserve">    Workflow["Sistema de Workflow/BPM&lt;br/&gt;(externo)"]</w:t>
      </w:r>
      <w:r>
        <w:br/>
      </w:r>
      <w:r>
        <w:br/>
      </w:r>
      <w:r>
        <w:rPr>
          <w:rStyle w:val="VerbatimChar"/>
        </w:rPr>
        <w:t xml:space="preserve">    subgraph Plataforma["RelatoSeg"]</w:t>
      </w:r>
      <w:r>
        <w:br/>
      </w:r>
      <w:r>
        <w:rPr>
          <w:rStyle w:val="VerbatimChar"/>
        </w:rPr>
        <w:t xml:space="preserve">        MobileApp["Mobile App&lt;br/&gt;(Segurada) — React Native"]</w:t>
      </w:r>
      <w:r>
        <w:br/>
      </w:r>
      <w:r>
        <w:rPr>
          <w:rStyle w:val="VerbatimChar"/>
        </w:rPr>
        <w:t xml:space="preserve">        WebPortal["Web Portal&lt;br/&gt;(Segurada) — React"]</w:t>
      </w:r>
      <w:r>
        <w:br/>
      </w:r>
      <w:r>
        <w:rPr>
          <w:rStyle w:val="VerbatimChar"/>
        </w:rPr>
        <w:t xml:space="preserve">        WebConsole["Web Console&lt;br/&gt;(Regulador/Corretor) — React"]</w:t>
      </w:r>
      <w:r>
        <w:br/>
      </w:r>
      <w:r>
        <w:rPr>
          <w:rStyle w:val="VerbatimChar"/>
        </w:rPr>
        <w:t xml:space="preserve">        IAP["Identity-Aware Proxy&lt;br/&gt;(restrição de acesso de rede)"]</w:t>
      </w:r>
      <w:r>
        <w:br/>
      </w:r>
      <w:r>
        <w:rPr>
          <w:rStyle w:val="VerbatimChar"/>
        </w:rPr>
        <w:t xml:space="preserve">        AgentConsole["Agent Console&lt;br/&gt;(Administrador — uso técnico/interno) — React"]</w:t>
      </w:r>
      <w:r>
        <w:br/>
      </w:r>
      <w:r>
        <w:rPr>
          <w:rStyle w:val="VerbatimChar"/>
        </w:rPr>
        <w:t xml:space="preserve">        Gateway["API Gateway&lt;br/&gt;(roteia também ao MCP Host&lt;br/&gt;— ver 3.2.2)"]</w:t>
      </w:r>
      <w:r>
        <w:br/>
      </w:r>
      <w:r>
        <w:rPr>
          <w:rStyle w:val="VerbatimChar"/>
        </w:rPr>
        <w:t xml:space="preserve">        Keycloak["Keycloak&lt;br/&gt;IAM — realm interno + externo"]</w:t>
      </w:r>
      <w:r>
        <w:br/>
      </w:r>
      <w:r>
        <w:rPr>
          <w:rStyle w:val="VerbatimChar"/>
        </w:rPr>
        <w:t xml:space="preserve">        KeycloakDB[("Cloud SQL for PostgreSQL&lt;br/&gt;Keycloak — realms/usuários")]</w:t>
      </w:r>
      <w:r>
        <w:br/>
      </w:r>
      <w:r>
        <w:rPr>
          <w:rStyle w:val="VerbatimChar"/>
        </w:rPr>
        <w:t xml:space="preserve">        SinistroAPI["API de Sinistros&lt;br/&gt;(gatilho + view, CQRS)"]</w:t>
      </w:r>
      <w:r>
        <w:br/>
      </w:r>
      <w:r>
        <w:rPr>
          <w:rStyle w:val="VerbatimChar"/>
        </w:rPr>
        <w:t xml:space="preserve">        SinistroDB[("Base de Sinistros&lt;br/&gt;Cloud SQL for PostgreSQL — modelo de leitura")]</w:t>
      </w:r>
      <w:r>
        <w:br/>
      </w:r>
      <w:r>
        <w:rPr>
          <w:rStyle w:val="VerbatimChar"/>
        </w:rPr>
        <w:t xml:space="preserve">        TemporalServer["Temporal Server&lt;br/&gt;(orquestração durável)&lt;br/&gt;— detalhado em 3.2.2"]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SSOCorporativo[("SSO Corporativo&lt;br/&gt;(existente na seguradora)")]</w:t>
      </w:r>
      <w:r>
        <w:br/>
      </w:r>
      <w:r>
        <w:br/>
      </w:r>
      <w:r>
        <w:rPr>
          <w:rStyle w:val="VerbatimChar"/>
        </w:rPr>
        <w:t xml:space="preserve">    Segurada --&gt;|usa| MobileApp</w:t>
      </w:r>
      <w:r>
        <w:br/>
      </w:r>
      <w:r>
        <w:rPr>
          <w:rStyle w:val="VerbatimChar"/>
        </w:rPr>
        <w:t xml:space="preserve">    Segurada --&gt;|usa| WebPortal</w:t>
      </w:r>
      <w:r>
        <w:br/>
      </w:r>
      <w:r>
        <w:rPr>
          <w:rStyle w:val="VerbatimChar"/>
        </w:rPr>
        <w:t xml:space="preserve">    Regulador --&gt;|usa| WebConsole</w:t>
      </w:r>
      <w:r>
        <w:br/>
      </w:r>
      <w:r>
        <w:rPr>
          <w:rStyle w:val="VerbatimChar"/>
        </w:rPr>
        <w:t xml:space="preserve">    Corretor --&gt;|usa| WebConsole</w:t>
      </w:r>
      <w:r>
        <w:br/>
      </w:r>
      <w:r>
        <w:rPr>
          <w:rStyle w:val="VerbatimChar"/>
        </w:rPr>
        <w:t xml:space="preserve">    PlatAdmin --&gt;|"acesso restrito por IP/identidade"| IAP</w:t>
      </w:r>
      <w:r>
        <w:br/>
      </w:r>
      <w:r>
        <w:rPr>
          <w:rStyle w:val="VerbatimChar"/>
        </w:rPr>
        <w:t xml:space="preserve">    IAP --&gt;|"autorizado"| AgentConsole</w:t>
      </w:r>
      <w:r>
        <w:br/>
      </w:r>
      <w:r>
        <w:br/>
      </w:r>
      <w:r>
        <w:rPr>
          <w:rStyle w:val="VerbatimChar"/>
        </w:rPr>
        <w:t xml:space="preserve">    MobileApp --&gt;|"login (OIDC)"| Keycloak</w:t>
      </w:r>
      <w:r>
        <w:br/>
      </w:r>
      <w:r>
        <w:rPr>
          <w:rStyle w:val="VerbatimChar"/>
        </w:rPr>
        <w:t xml:space="preserve">    WebPortal --&gt;|"login (OIDC)"| Keycloak</w:t>
      </w:r>
      <w:r>
        <w:br/>
      </w:r>
      <w:r>
        <w:rPr>
          <w:rStyle w:val="VerbatimChar"/>
        </w:rPr>
        <w:t xml:space="preserve">    WebConsole --&gt;|"login (OIDC)"| Keycloak</w:t>
      </w:r>
      <w:r>
        <w:br/>
      </w:r>
      <w:r>
        <w:rPr>
          <w:rStyle w:val="VerbatimChar"/>
        </w:rPr>
        <w:t xml:space="preserve">    AgentConsole --&gt;|"login (OIDC)"| Keycloak</w:t>
      </w:r>
      <w:r>
        <w:br/>
      </w:r>
      <w:r>
        <w:rPr>
          <w:rStyle w:val="VerbatimChar"/>
        </w:rPr>
        <w:t xml:space="preserve">    Gateway --&gt;|"valida token (JWKS)"| Keycloak</w:t>
      </w:r>
      <w:r>
        <w:br/>
      </w:r>
      <w:r>
        <w:rPr>
          <w:rStyle w:val="VerbatimChar"/>
        </w:rPr>
        <w:t xml:space="preserve">    Keycloak --&gt;|persiste realms/usuários| KeycloakDB</w:t>
      </w:r>
      <w:r>
        <w:br/>
      </w:r>
      <w:r>
        <w:rPr>
          <w:rStyle w:val="VerbatimChar"/>
        </w:rPr>
        <w:t xml:space="preserve">    Keycloak --&gt;|"federa (realm interno)"| SSOCorporativo</w:t>
      </w:r>
      <w:r>
        <w:br/>
      </w:r>
      <w:r>
        <w:br/>
      </w:r>
      <w:r>
        <w:rPr>
          <w:rStyle w:val="VerbatimChar"/>
        </w:rPr>
        <w:t xml:space="preserve">    MobileApp --&gt;|"envia fotos + dados do dano&lt;br/&gt;(offline-first)"| Gateway</w:t>
      </w:r>
      <w:r>
        <w:br/>
      </w:r>
      <w:r>
        <w:rPr>
          <w:rStyle w:val="VerbatimChar"/>
        </w:rPr>
        <w:t xml:space="preserve">    WebPortal --&gt;|envia fotos + dados do dano| Gateway</w:t>
      </w:r>
      <w:r>
        <w:br/>
      </w:r>
      <w:r>
        <w:rPr>
          <w:rStyle w:val="VerbatimChar"/>
        </w:rPr>
        <w:t xml:space="preserve">    WebConsole --&gt;|consulta status/histórico| Gateway</w:t>
      </w:r>
      <w:r>
        <w:br/>
      </w:r>
      <w:r>
        <w:rPr>
          <w:rStyle w:val="VerbatimChar"/>
        </w:rPr>
        <w:t xml:space="preserve">    AgentConsole --&gt;|"cria/configura agentes, cadastra MCP Servers"| Gateway</w:t>
      </w:r>
      <w:r>
        <w:br/>
      </w:r>
      <w:r>
        <w:rPr>
          <w:rStyle w:val="VerbatimChar"/>
        </w:rPr>
        <w:t xml:space="preserve">    Gateway --&gt;|roteia| SinistroAPI</w:t>
      </w:r>
      <w:r>
        <w:br/>
      </w:r>
      <w:r>
        <w:br/>
      </w:r>
      <w:r>
        <w:rPr>
          <w:rStyle w:val="VerbatimChar"/>
        </w:rPr>
        <w:t xml:space="preserve">    Workflow --&gt;|"dispara (client credentials)"| SinistroAPI</w:t>
      </w:r>
      <w:r>
        <w:br/>
      </w:r>
      <w:r>
        <w:rPr>
          <w:rStyle w:val="VerbatimChar"/>
        </w:rPr>
        <w:t xml:space="preserve">    Workflow --&gt;|client credentials| Keycloak</w:t>
      </w:r>
      <w:r>
        <w:br/>
      </w:r>
      <w:r>
        <w:rPr>
          <w:rStyle w:val="VerbatimChar"/>
        </w:rPr>
        <w:t xml:space="preserve">    SinistroAPI --&gt;|atualiza status| Workflow</w:t>
      </w:r>
      <w:r>
        <w:br/>
      </w:r>
      <w:r>
        <w:br/>
      </w:r>
      <w:r>
        <w:rPr>
          <w:rStyle w:val="VerbatimChar"/>
        </w:rPr>
        <w:t xml:space="preserve">    SinistroAPI --&gt;|"grava registro inicial (view)"| SinistroDB</w:t>
      </w:r>
      <w:r>
        <w:br/>
      </w:r>
      <w:r>
        <w:rPr>
          <w:rStyle w:val="VerbatimChar"/>
        </w:rPr>
        <w:t xml:space="preserve">    SinistroAPI --&gt;|consulta status/histórico| SinistroDB</w:t>
      </w:r>
      <w:r>
        <w:br/>
      </w:r>
      <w:r>
        <w:rPr>
          <w:rStyle w:val="VerbatimChar"/>
        </w:rPr>
        <w:t xml:space="preserve">    SinistroAPI --&gt;|"inicia workflow"| TemporalServer</w:t>
      </w:r>
    </w:p>
    <w:p>
      <w:pPr>
        <w:pStyle w:val="FirstParagraph"/>
      </w:pPr>
      <w:r>
        <w:t xml:space="preserve">Antes de qualquer chamada de negócio, os clientes (Mobile App, Web Portal, Web Console, Agent Console) se autenticam no</w:t>
      </w:r>
      <w:r>
        <w:t xml:space="preserve"> </w:t>
      </w:r>
      <w:r>
        <w:rPr>
          <w:b/>
        </w:rPr>
        <w:t xml:space="preserve">Keycloak</w:t>
      </w:r>
      <w:r>
        <w:t xml:space="preserve"> </w:t>
      </w:r>
      <w:r>
        <w:t xml:space="preserve">via OAuth2/OIDC — um</w:t>
      </w:r>
      <w:r>
        <w:t xml:space="preserve"> </w:t>
      </w:r>
      <w:r>
        <w:rPr>
          <w:i/>
        </w:rPr>
        <w:t xml:space="preserve">realm</w:t>
      </w:r>
      <w:r>
        <w:t xml:space="preserve"> </w:t>
      </w:r>
      <w:r>
        <w:t xml:space="preserve">interno, federado ao SSO corporativo já existente na seguradora (regulador, corretor, administrador), e um</w:t>
      </w:r>
      <w:r>
        <w:t xml:space="preserve"> </w:t>
      </w:r>
      <w:r>
        <w:rPr>
          <w:i/>
        </w:rPr>
        <w:t xml:space="preserve">realm</w:t>
      </w:r>
      <w:r>
        <w:t xml:space="preserve"> </w:t>
      </w:r>
      <w:r>
        <w:t xml:space="preserve">externo com cadastro próprio (segurada). O token resultante carrega o papel do usuário como</w:t>
      </w:r>
      <w:r>
        <w:t xml:space="preserve"> </w:t>
      </w:r>
      <w:r>
        <w:rPr>
          <w:i/>
        </w:rPr>
        <w:t xml:space="preserve">claim</w:t>
      </w:r>
      <w:r>
        <w:t xml:space="preserve">, usado pelo</w:t>
      </w:r>
      <w:r>
        <w:t xml:space="preserve"> </w:t>
      </w:r>
      <w:r>
        <w:rPr>
          <w:b/>
        </w:rPr>
        <w:t xml:space="preserve">API Gateway</w:t>
      </w:r>
      <w:r>
        <w:t xml:space="preserve"> </w:t>
      </w:r>
      <w:r>
        <w:t xml:space="preserve">para aplicar RBAC na borda, sem que cada serviço downstream precise reimplementar essa checagem. O fluxo tem três portas de entrada de negócio para o mesmo pipeline: as duas portas</w:t>
      </w:r>
      <w:r>
        <w:t xml:space="preserve"> </w:t>
      </w:r>
      <w:r>
        <w:rPr>
          <w:b/>
        </w:rPr>
        <w:t xml:space="preserve">self-service</w:t>
      </w:r>
      <w:r>
        <w:t xml:space="preserve"> </w:t>
      </w:r>
      <w:r>
        <w:t xml:space="preserve">passam pelo</w:t>
      </w:r>
      <w:r>
        <w:t xml:space="preserve"> </w:t>
      </w:r>
      <w:r>
        <w:rPr>
          <w:b/>
        </w:rPr>
        <w:t xml:space="preserve">API Gateway</w:t>
      </w:r>
      <w:r>
        <w:t xml:space="preserve"> </w:t>
      </w:r>
      <w:r>
        <w:t xml:space="preserve">único (autenticação, rate limiting e roteamento), já que carregam o token de usuário validado ali — a segurada envia fotos e dados do dano via</w:t>
      </w:r>
      <w:r>
        <w:t xml:space="preserve"> </w:t>
      </w:r>
      <w:r>
        <w:rPr>
          <w:b/>
        </w:rPr>
        <w:t xml:space="preserve">Mobile App</w:t>
      </w:r>
      <w:r>
        <w:t xml:space="preserve"> </w:t>
      </w:r>
      <w:r>
        <w:t xml:space="preserve">(React Native, com captura offline-first) ou</w:t>
      </w:r>
      <w:r>
        <w:t xml:space="preserve"> </w:t>
      </w:r>
      <w:r>
        <w:rPr>
          <w:b/>
        </w:rPr>
        <w:t xml:space="preserve">Web Portal</w:t>
      </w:r>
      <w:r>
        <w:t xml:space="preserve"> </w:t>
      </w:r>
      <w:r>
        <w:t xml:space="preserve">(React). Já a integração do regulador de sinistros, feita pelo sistema de Workflow/BPM já existente na seguradora, é uma chamada</w:t>
      </w:r>
      <w:r>
        <w:t xml:space="preserve"> </w:t>
      </w:r>
      <w:r>
        <w:rPr>
          <w:b/>
        </w:rPr>
        <w:t xml:space="preserve">service-to-service (M2M)</w:t>
      </w:r>
      <w:r>
        <w:t xml:space="preserve"> </w:t>
      </w:r>
      <w:r>
        <w:t xml:space="preserve">direta à</w:t>
      </w:r>
      <w:r>
        <w:t xml:space="preserve"> </w:t>
      </w:r>
      <w:r>
        <w:rPr>
          <w:b/>
        </w:rPr>
        <w:t xml:space="preserve">API de Sinistros</w:t>
      </w:r>
      <w:r>
        <w:t xml:space="preserve">, autenticada via OAuth2</w:t>
      </w:r>
      <w:r>
        <w:t xml:space="preserve"> </w:t>
      </w:r>
      <w:r>
        <w:rPr>
          <w:i/>
        </w:rPr>
        <w:t xml:space="preserve">client credentials</w:t>
      </w:r>
      <w:r>
        <w:t xml:space="preserve"> </w:t>
      </w:r>
      <w:r>
        <w:t xml:space="preserve">no Keycloak — sem passar pelo Gateway, pois não carrega token de usuário para RBAC por papel, e sim credencial do próprio sistema externo. Todo o tráfego de negócio (disparo e consulta de status) converge para a</w:t>
      </w:r>
      <w:r>
        <w:t xml:space="preserve"> </w:t>
      </w:r>
      <w:r>
        <w:rPr>
          <w:b/>
        </w:rPr>
        <w:t xml:space="preserve">API de Sinistros</w:t>
      </w:r>
      <w:r>
        <w:t xml:space="preserve"> </w:t>
      </w:r>
      <w:r>
        <w:t xml:space="preserve">— que segrega comando de leitura (padrão</w:t>
      </w:r>
      <w:r>
        <w:t xml:space="preserve"> </w:t>
      </w:r>
      <w:r>
        <w:rPr>
          <w:b/>
        </w:rPr>
        <w:t xml:space="preserve">CQRS</w:t>
      </w:r>
      <w:r>
        <w:t xml:space="preserve">): ela grava um registro inicial na sua</w:t>
      </w:r>
      <w:r>
        <w:t xml:space="preserve"> </w:t>
      </w:r>
      <w:r>
        <w:rPr>
          <w:b/>
        </w:rPr>
        <w:t xml:space="preserve">própria base de leitura (Base de Sinistros)</w:t>
      </w:r>
      <w:r>
        <w:t xml:space="preserve">, dispara a execução no</w:t>
      </w:r>
      <w:r>
        <w:t xml:space="preserve"> </w:t>
      </w:r>
      <w:r>
        <w:rPr>
          <w:b/>
        </w:rPr>
        <w:t xml:space="preserve">Temporal Server</w:t>
      </w:r>
      <w:r>
        <w:t xml:space="preserve"> </w:t>
      </w:r>
      <w:r>
        <w:t xml:space="preserve">e devolve o status atual sempre consultando essa mesma base, isolada do estado interno da orquestração. O</w:t>
      </w:r>
      <w:r>
        <w:t xml:space="preserve"> </w:t>
      </w:r>
      <w:r>
        <w:rPr>
          <w:b/>
        </w:rPr>
        <w:t xml:space="preserve">Web Console</w:t>
      </w:r>
      <w:r>
        <w:t xml:space="preserve"> </w:t>
      </w:r>
      <w:r>
        <w:t xml:space="preserve">(React) agora é de uso exclusivo de regulador e corretor, que o utilizam para acompanhar o status/histórico das solicitações. O</w:t>
      </w:r>
      <w:r>
        <w:t xml:space="preserve"> </w:t>
      </w:r>
      <w:r>
        <w:rPr>
          <w:b/>
        </w:rPr>
        <w:t xml:space="preserve">Agent Console</w:t>
      </w:r>
      <w:r>
        <w:t xml:space="preserve"> </w:t>
      </w:r>
      <w:r>
        <w:t xml:space="preserve">(React) é uma aplicação separada, de uso técnico/interno, restrita ao administrador de plataforma (funcionário técnico/de negócio da seguradora — ver justificativa na seção 2.4): antes mesmo do login, o acesso já é filtrado na borda pelo</w:t>
      </w:r>
      <w:r>
        <w:t xml:space="preserve"> </w:t>
      </w:r>
      <w:r>
        <w:rPr>
          <w:b/>
        </w:rPr>
        <w:t xml:space="preserve">Identity-Aware Proxy (IAP)</w:t>
      </w:r>
      <w:r>
        <w:t xml:space="preserve">, que só deixa alcançar a aplicação usuários autorizados (ver justificativa na seção 2.4) — camada extra que os demais front ends não têm, dado o</w:t>
      </w:r>
      <w:r>
        <w:t xml:space="preserve"> </w:t>
      </w:r>
      <w:r>
        <w:rPr>
          <w:i/>
        </w:rPr>
        <w:t xml:space="preserve">blast radius</w:t>
      </w:r>
      <w:r>
        <w:t xml:space="preserve"> </w:t>
      </w:r>
      <w:r>
        <w:t xml:space="preserve">dessa superfície. Autenticado, o administrador cria e configura agentes (prompt, modelo de LLM) e cadastra novos MCP Servers, através do mesmo Gateway único, roteado ao</w:t>
      </w:r>
      <w:r>
        <w:t xml:space="preserve"> </w:t>
      </w:r>
      <w:r>
        <w:rPr>
          <w:b/>
        </w:rPr>
        <w:t xml:space="preserve">MCP Host</w:t>
      </w:r>
      <w:r>
        <w:t xml:space="preserve"> </w:t>
      </w:r>
      <w:r>
        <w:t xml:space="preserve">— persistência detalhada em 3.2.2. A partir da chamada</w:t>
      </w:r>
      <w:r>
        <w:t xml:space="preserve"> </w:t>
      </w:r>
      <w:r>
        <w:rPr>
          <w:rStyle w:val="VerbatimChar"/>
        </w:rPr>
        <w:t xml:space="preserve">SinistroAPI → Temporal Server</w:t>
      </w:r>
      <w:r>
        <w:t xml:space="preserve">, a orquestração durável do pipeline assume o fluxo, detalhada na próxima</w:t>
      </w:r>
      <w:r>
        <w:t xml:space="preserve"> </w:t>
      </w:r>
      <w:r>
        <w:rPr>
          <w:i/>
        </w:rPr>
        <w:t xml:space="preserve">view</w:t>
      </w:r>
      <w:r>
        <w:t xml:space="preserve">.</w:t>
      </w:r>
    </w:p>
    <w:p>
      <w:pPr>
        <w:pStyle w:val="Heading4"/>
      </w:pPr>
      <w:bookmarkStart w:id="34" w:name="processamento-orquestrado-steps-1-4"/>
      <w:r>
        <w:t xml:space="preserve">3.2.2 Processamento Orquestrado (steps 1-4)</w:t>
      </w:r>
      <w:bookmarkEnd w:id="34"/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subgraph Plataforma["RelatoSeg — pipeline interno"]</w:t>
      </w:r>
      <w:r>
        <w:br/>
      </w:r>
      <w:r>
        <w:rPr>
          <w:rStyle w:val="VerbatimChar"/>
        </w:rPr>
        <w:t xml:space="preserve">        TemporalServer["Temporal Server&lt;br/&gt;(orquestração durável)&lt;br/&gt;— aciona também step 5, ver 3.2.3"]</w:t>
      </w:r>
      <w:r>
        <w:br/>
      </w:r>
      <w:r>
        <w:rPr>
          <w:rStyle w:val="VerbatimChar"/>
        </w:rPr>
        <w:t xml:space="preserve">        InitWorker["Init Worker&lt;br/&gt;(step 1)"]</w:t>
      </w:r>
      <w:r>
        <w:br/>
      </w:r>
      <w:r>
        <w:rPr>
          <w:rStyle w:val="VerbatimChar"/>
        </w:rPr>
        <w:t xml:space="preserve">        MCPHost["MCP Host&lt;br/&gt;Spring MCP Client (step 2)"]</w:t>
      </w:r>
      <w:r>
        <w:br/>
      </w:r>
      <w:r>
        <w:rPr>
          <w:rStyle w:val="VerbatimChar"/>
        </w:rPr>
        <w:t xml:space="preserve">        ToolsAPI["Tools API&lt;br/&gt;Spring MCP Service (step 2)"]</w:t>
      </w:r>
      <w:r>
        <w:br/>
      </w:r>
      <w:r>
        <w:rPr>
          <w:rStyle w:val="VerbatimChar"/>
        </w:rPr>
        <w:t xml:space="preserve">        Builder["Report Builder&lt;br/&gt;(step 3)"]</w:t>
      </w:r>
      <w:r>
        <w:br/>
      </w:r>
      <w:r>
        <w:rPr>
          <w:rStyle w:val="VerbatimChar"/>
        </w:rPr>
        <w:t xml:space="preserve">        DocGen["Document Generator&lt;br/&gt;(step 4)"]</w:t>
      </w:r>
      <w:r>
        <w:br/>
      </w:r>
      <w:r>
        <w:rPr>
          <w:rStyle w:val="VerbatimChar"/>
        </w:rPr>
        <w:t xml:space="preserve">        Storage[("Google Cloud Storage&lt;br/&gt;dados brutos/metadado")]</w:t>
      </w:r>
      <w:r>
        <w:br/>
      </w:r>
      <w:r>
        <w:rPr>
          <w:rStyle w:val="VerbatimChar"/>
        </w:rPr>
        <w:t xml:space="preserve">        Postgres[("Cloud SQL for PostgreSQL&lt;br/&gt;estado operacional (orquestração)")]</w:t>
      </w:r>
      <w:r>
        <w:br/>
      </w:r>
      <w:r>
        <w:rPr>
          <w:rStyle w:val="VerbatimChar"/>
        </w:rPr>
        <w:t xml:space="preserve">        Redis[("Memorystore for Redis&lt;br/&gt;cache de leitura")]</w:t>
      </w:r>
      <w:r>
        <w:br/>
      </w:r>
      <w:r>
        <w:rPr>
          <w:rStyle w:val="VerbatimChar"/>
        </w:rPr>
        <w:t xml:space="preserve">        Keycloak["Keycloak&lt;br/&gt;(IAM — ver 3.2.1)"]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Gateway["API Gateway&lt;br/&gt;(ver 3.2.1)"]</w:t>
      </w:r>
      <w:r>
        <w:br/>
      </w:r>
      <w:r>
        <w:rPr>
          <w:rStyle w:val="VerbatimChar"/>
        </w:rPr>
        <w:t xml:space="preserve">    DW[("Data Warehouse&lt;br/&gt;Apólices e Sinistros — BigQuery")]</w:t>
      </w:r>
      <w:r>
        <w:br/>
      </w:r>
      <w:r>
        <w:rPr>
          <w:rStyle w:val="VerbatimChar"/>
        </w:rPr>
        <w:t xml:space="preserve">    Servicos[("Sistema de Apólices e Sinistros")]</w:t>
      </w:r>
      <w:r>
        <w:br/>
      </w:r>
      <w:r>
        <w:rPr>
          <w:rStyle w:val="VerbatimChar"/>
        </w:rPr>
        <w:t xml:space="preserve">    Docs[("Google Drive")]</w:t>
      </w:r>
      <w:r>
        <w:br/>
      </w:r>
      <w:r>
        <w:rPr>
          <w:rStyle w:val="VerbatimChar"/>
        </w:rPr>
        <w:t xml:space="preserve">    LLM[("Provedor de LLM&lt;br/&gt;(ex.: OpenAI, Anthropic, Gemini)")]</w:t>
      </w:r>
      <w:r>
        <w:br/>
      </w:r>
      <w:r>
        <w:br/>
      </w:r>
      <w:r>
        <w:rPr>
          <w:rStyle w:val="VerbatimChar"/>
        </w:rPr>
        <w:t xml:space="preserve">    TemporalServer --&gt;|"persiste histórico de execução (interno)"| Postgres</w:t>
      </w:r>
      <w:r>
        <w:br/>
      </w:r>
      <w:r>
        <w:rPr>
          <w:rStyle w:val="VerbatimChar"/>
        </w:rPr>
        <w:t xml:space="preserve">    TemporalServer --&gt;|orquestra activity| InitWorker</w:t>
      </w:r>
      <w:r>
        <w:br/>
      </w:r>
      <w:r>
        <w:rPr>
          <w:rStyle w:val="VerbatimChar"/>
        </w:rPr>
        <w:t xml:space="preserve">    InitWorker --&gt;|"persiste solicitação (step 1)"| Postgres</w:t>
      </w:r>
      <w:r>
        <w:br/>
      </w:r>
      <w:r>
        <w:rPr>
          <w:rStyle w:val="VerbatimChar"/>
        </w:rPr>
        <w:t xml:space="preserve">    TemporalServer --&gt;|orquestra activity| MCPHost</w:t>
      </w:r>
      <w:r>
        <w:br/>
      </w:r>
      <w:r>
        <w:rPr>
          <w:rStyle w:val="VerbatimChar"/>
        </w:rPr>
        <w:t xml:space="preserve">    Gateway --&gt;|"roteia (Agent Console: cria/configura agentes, cadastra MCP Servers)"| MCPHost</w:t>
      </w:r>
      <w:r>
        <w:br/>
      </w:r>
      <w:r>
        <w:rPr>
          <w:rStyle w:val="VerbatimChar"/>
        </w:rPr>
        <w:t xml:space="preserve">    MCPHost --&gt;|client credentials| Keycloak</w:t>
      </w:r>
      <w:r>
        <w:br/>
      </w:r>
      <w:r>
        <w:rPr>
          <w:rStyle w:val="VerbatimChar"/>
        </w:rPr>
        <w:t xml:space="preserve">    MCPHost --&gt;|"persiste prompts/config (Prompt Config Store)"| Postgres</w:t>
      </w:r>
      <w:r>
        <w:br/>
      </w:r>
      <w:r>
        <w:rPr>
          <w:rStyle w:val="VerbatimChar"/>
        </w:rPr>
        <w:t xml:space="preserve">    MCPHost --&gt;|"chama LLM (chat completion)"| LLM</w:t>
      </w:r>
      <w:r>
        <w:br/>
      </w:r>
      <w:r>
        <w:rPr>
          <w:rStyle w:val="VerbatimChar"/>
        </w:rPr>
        <w:t xml:space="preserve">    MCPHost --&gt;|"chama tools via protocolo MCP (token M2M)"| ToolsAPI</w:t>
      </w:r>
      <w:r>
        <w:br/>
      </w:r>
      <w:r>
        <w:rPr>
          <w:rStyle w:val="VerbatimChar"/>
        </w:rPr>
        <w:t xml:space="preserve">    ToolsAPI --&gt;|consulta| DW</w:t>
      </w:r>
      <w:r>
        <w:br/>
      </w:r>
      <w:r>
        <w:rPr>
          <w:rStyle w:val="VerbatimChar"/>
        </w:rPr>
        <w:t xml:space="preserve">    ToolsAPI --&gt;|consulta| Servicos</w:t>
      </w:r>
      <w:r>
        <w:br/>
      </w:r>
      <w:r>
        <w:rPr>
          <w:rStyle w:val="VerbatimChar"/>
        </w:rPr>
        <w:t xml:space="preserve">    ToolsAPI --&gt;|cache leitura| Redis</w:t>
      </w:r>
      <w:r>
        <w:br/>
      </w:r>
      <w:r>
        <w:rPr>
          <w:rStyle w:val="VerbatimChar"/>
        </w:rPr>
        <w:t xml:space="preserve">    ToolsAPI --&gt;|grava dados brutos| Storage</w:t>
      </w:r>
      <w:r>
        <w:br/>
      </w:r>
      <w:r>
        <w:rPr>
          <w:rStyle w:val="VerbatimChar"/>
        </w:rPr>
        <w:t xml:space="preserve">    TemporalServer --&gt;|orquestra activity| Builder</w:t>
      </w:r>
      <w:r>
        <w:br/>
      </w:r>
      <w:r>
        <w:rPr>
          <w:rStyle w:val="VerbatimChar"/>
        </w:rPr>
        <w:t xml:space="preserve">    Builder --&gt;|consolida metadado| Storage</w:t>
      </w:r>
      <w:r>
        <w:br/>
      </w:r>
      <w:r>
        <w:rPr>
          <w:rStyle w:val="VerbatimChar"/>
        </w:rPr>
        <w:t xml:space="preserve">    TemporalServer --&gt;|orquestra activity| DocGen</w:t>
      </w:r>
      <w:r>
        <w:br/>
      </w:r>
      <w:r>
        <w:rPr>
          <w:rStyle w:val="VerbatimChar"/>
        </w:rPr>
        <w:t xml:space="preserve">    DocGen --&gt;|lê metadado| Storage</w:t>
      </w:r>
      <w:r>
        <w:br/>
      </w:r>
      <w:r>
        <w:rPr>
          <w:rStyle w:val="VerbatimChar"/>
        </w:rPr>
        <w:t xml:space="preserve">    DocGen --&gt;|gera documento| Docs</w:t>
      </w:r>
    </w:p>
    <w:p>
      <w:pPr>
        <w:pStyle w:val="FirstParagraph"/>
      </w:pPr>
      <w:r>
        <w:t xml:space="preserve">O Temporal orquestra de forma durável (com retries automáticos e deduplicação nativa por Workflow ID) uma sequência de 5</w:t>
      </w:r>
      <w:r>
        <w:t xml:space="preserve"> </w:t>
      </w:r>
      <w:r>
        <w:rPr>
          <w:i/>
        </w:rPr>
        <w:t xml:space="preserve">activities</w:t>
      </w:r>
      <w:r>
        <w:t xml:space="preserve">, mantendo a numeração original do pipeline:</w:t>
      </w:r>
      <w:r>
        <w:t xml:space="preserve"> </w:t>
      </w:r>
      <w:r>
        <w:rPr>
          <w:b/>
        </w:rPr>
        <w:t xml:space="preserve">step 1</w:t>
      </w:r>
      <w:r>
        <w:t xml:space="preserve"> </w:t>
      </w:r>
      <w:r>
        <w:t xml:space="preserve">(</w:t>
      </w:r>
      <w:r>
        <w:rPr>
          <w:b/>
        </w:rPr>
        <w:t xml:space="preserve">Init Worker</w:t>
      </w:r>
      <w:r>
        <w:t xml:space="preserve">) persiste a solicitação no</w:t>
      </w:r>
      <w:r>
        <w:t xml:space="preserve"> </w:t>
      </w:r>
      <w:r>
        <w:rPr>
          <w:b/>
        </w:rPr>
        <w:t xml:space="preserve">Cloud SQL for PostgreSQL operacional</w:t>
      </w:r>
      <w:r>
        <w:t xml:space="preserve">, seguido por</w:t>
      </w:r>
      <w:r>
        <w:t xml:space="preserve"> </w:t>
      </w:r>
      <w:r>
        <w:rPr>
          <w:b/>
        </w:rPr>
        <w:t xml:space="preserve">step 2</w:t>
      </w:r>
      <w:r>
        <w:t xml:space="preserve"> </w:t>
      </w:r>
      <w:r>
        <w:t xml:space="preserve">(</w:t>
      </w:r>
      <w:r>
        <w:rPr>
          <w:b/>
        </w:rPr>
        <w:t xml:space="preserve">MCP Host</w:t>
      </w:r>
      <w:r>
        <w:t xml:space="preserve">),</w:t>
      </w:r>
      <w:r>
        <w:t xml:space="preserve"> </w:t>
      </w:r>
      <w:r>
        <w:rPr>
          <w:b/>
        </w:rPr>
        <w:t xml:space="preserve">step 3</w:t>
      </w:r>
      <w:r>
        <w:t xml:space="preserve"> </w:t>
      </w:r>
      <w:r>
        <w:t xml:space="preserve">(</w:t>
      </w:r>
      <w:r>
        <w:rPr>
          <w:b/>
        </w:rPr>
        <w:t xml:space="preserve">Report Builder</w:t>
      </w:r>
      <w:r>
        <w:t xml:space="preserve">) e</w:t>
      </w:r>
      <w:r>
        <w:t xml:space="preserve"> </w:t>
      </w:r>
      <w:r>
        <w:rPr>
          <w:b/>
        </w:rPr>
        <w:t xml:space="preserve">step 4</w:t>
      </w:r>
      <w:r>
        <w:t xml:space="preserve"> </w:t>
      </w:r>
      <w:r>
        <w:t xml:space="preserve">(</w:t>
      </w:r>
      <w:r>
        <w:rPr>
          <w:b/>
        </w:rPr>
        <w:t xml:space="preserve">Document Generator</w:t>
      </w:r>
      <w:r>
        <w:t xml:space="preserve">) — cada step com seu próprio container, dono exclusivo dos dados que grava. O MCP Host — implementado como</w:t>
      </w:r>
      <w:r>
        <w:t xml:space="preserve"> </w:t>
      </w:r>
      <w:r>
        <w:rPr>
          <w:b/>
        </w:rPr>
        <w:t xml:space="preserve">Spring MCP Client</w:t>
      </w:r>
      <w:r>
        <w:t xml:space="preserve"> </w:t>
      </w:r>
      <w:r>
        <w:t xml:space="preserve">— aciona os agentes de IA, chamando o</w:t>
      </w:r>
      <w:r>
        <w:t xml:space="preserve"> </w:t>
      </w:r>
      <w:r>
        <w:rPr>
          <w:b/>
        </w:rPr>
        <w:t xml:space="preserve">provedor de LLM</w:t>
      </w:r>
      <w:r>
        <w:t xml:space="preserve"> </w:t>
      </w:r>
      <w:r>
        <w:t xml:space="preserve">contratado (chat completion) e utilizando a</w:t>
      </w:r>
      <w:r>
        <w:t xml:space="preserve"> </w:t>
      </w:r>
      <w:r>
        <w:rPr>
          <w:b/>
        </w:rPr>
        <w:t xml:space="preserve">Tools API</w:t>
      </w:r>
      <w:r>
        <w:t xml:space="preserve"> </w:t>
      </w:r>
      <w:r>
        <w:t xml:space="preserve">— implementada como</w:t>
      </w:r>
      <w:r>
        <w:t xml:space="preserve"> </w:t>
      </w:r>
      <w:r>
        <w:rPr>
          <w:b/>
        </w:rPr>
        <w:t xml:space="preserve">Spring MCP Service (Server)</w:t>
      </w:r>
      <w:r>
        <w:t xml:space="preserve"> </w:t>
      </w:r>
      <w:r>
        <w:t xml:space="preserve">— para buscar as informações necessárias (dados do data warehouse e do sistema de apólices/sinistros, com cache de leitura no</w:t>
      </w:r>
      <w:r>
        <w:t xml:space="preserve"> </w:t>
      </w:r>
      <w:r>
        <w:rPr>
          <w:b/>
        </w:rPr>
        <w:t xml:space="preserve">Memorystore for Redis</w:t>
      </w:r>
      <w:r>
        <w:t xml:space="preserve">), persistindo-as no storage intermediário; o MCP Host também persiste, no mesmo Cloud SQL operacional (schema próprio, sem compartilhar tabelas com Temporal Server ou Init Worker), a configuração de agentes/modelos/prompts recebida do Agent Console (RF05). O</w:t>
      </w:r>
      <w:r>
        <w:t xml:space="preserve"> </w:t>
      </w:r>
      <w:r>
        <w:rPr>
          <w:b/>
        </w:rPr>
        <w:t xml:space="preserve">Report Builder</w:t>
      </w:r>
      <w:r>
        <w:t xml:space="preserve"> </w:t>
      </w:r>
      <w:r>
        <w:t xml:space="preserve">consolida esses dados brutos em um metadado padronizado, consumido pelo</w:t>
      </w:r>
      <w:r>
        <w:t xml:space="preserve"> </w:t>
      </w:r>
      <w:r>
        <w:rPr>
          <w:b/>
        </w:rPr>
        <w:t xml:space="preserve">Document Generator</w:t>
      </w:r>
      <w:r>
        <w:t xml:space="preserve"> </w:t>
      </w:r>
      <w:r>
        <w:t xml:space="preserve">para produzir o documento final. Concluído o step 4, o Temporal aciona o</w:t>
      </w:r>
      <w:r>
        <w:t xml:space="preserve"> </w:t>
      </w:r>
      <w:r>
        <w:rPr>
          <w:b/>
        </w:rPr>
        <w:t xml:space="preserve">step 5</w:t>
      </w:r>
      <w:r>
        <w:t xml:space="preserve"> </w:t>
      </w:r>
      <w:r>
        <w:t xml:space="preserve">(</w:t>
      </w:r>
      <w:r>
        <w:rPr>
          <w:b/>
        </w:rPr>
        <w:t xml:space="preserve">Notifier</w:t>
      </w:r>
      <w:r>
        <w:t xml:space="preserve">), detalhado na próxima</w:t>
      </w:r>
      <w:r>
        <w:t xml:space="preserve"> </w:t>
      </w:r>
      <w:r>
        <w:rPr>
          <w:i/>
        </w:rPr>
        <w:t xml:space="preserve">view</w:t>
      </w:r>
      <w:r>
        <w:t xml:space="preserve">.</w:t>
      </w:r>
    </w:p>
    <w:p>
      <w:pPr>
        <w:pStyle w:val="Heading4"/>
      </w:pPr>
      <w:bookmarkStart w:id="35" w:name="X6c1884a6ec8ae6fe91601081f7b3da675312302"/>
      <w:r>
        <w:t xml:space="preserve">3.2.3 Notificação (step 5) e Consumo do Resultado</w:t>
      </w:r>
      <w:bookmarkEnd w:id="35"/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subgraph Plataforma["RelatoSeg — notificação"]</w:t>
      </w:r>
      <w:r>
        <w:br/>
      </w:r>
      <w:r>
        <w:rPr>
          <w:rStyle w:val="VerbatimChar"/>
        </w:rPr>
        <w:t xml:space="preserve">        TemporalServer["Temporal Server&lt;br/&gt;(ver 3.2.2)"]</w:t>
      </w:r>
      <w:r>
        <w:br/>
      </w:r>
      <w:r>
        <w:rPr>
          <w:rStyle w:val="VerbatimChar"/>
        </w:rPr>
        <w:t xml:space="preserve">        Notifier["Notifier&lt;br/&gt;(step 5)"]</w:t>
      </w:r>
      <w:r>
        <w:br/>
      </w:r>
      <w:r>
        <w:rPr>
          <w:rStyle w:val="VerbatimChar"/>
        </w:rPr>
        <w:t xml:space="preserve">        PubSub[("Google Cloud Pub/Sub&lt;br/&gt;notificação externa")]</w:t>
      </w:r>
      <w:r>
        <w:br/>
      </w:r>
      <w:r>
        <w:rPr>
          <w:rStyle w:val="VerbatimChar"/>
        </w:rPr>
        <w:t xml:space="preserve">        SinistroAPI["API de Sinistros&lt;br/&gt;(gatilho + view, CQRS)"]</w:t>
      </w:r>
      <w:r>
        <w:br/>
      </w:r>
      <w:r>
        <w:rPr>
          <w:rStyle w:val="VerbatimChar"/>
        </w:rPr>
        <w:t xml:space="preserve">        SinistroDB[("Base de Sinistros&lt;br/&gt;Cloud SQL for PostgreSQL — modelo de leitura")]</w:t>
      </w:r>
      <w:r>
        <w:br/>
      </w:r>
      <w:r>
        <w:rPr>
          <w:rStyle w:val="VerbatimChar"/>
        </w:rPr>
        <w:t xml:space="preserve">        NotificationAPI["API de Notificação&lt;br/&gt;(reutilizável entre domínios)"]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Regulador["Regulador de Sinistros"]</w:t>
      </w:r>
      <w:r>
        <w:br/>
      </w:r>
      <w:r>
        <w:rPr>
          <w:rStyle w:val="VerbatimChar"/>
        </w:rPr>
        <w:t xml:space="preserve">    Corretor["Corretor de Seguros"]</w:t>
      </w:r>
      <w:r>
        <w:br/>
      </w:r>
      <w:r>
        <w:rPr>
          <w:rStyle w:val="VerbatimChar"/>
        </w:rPr>
        <w:t xml:space="preserve">    Segurada["Segurada"]</w:t>
      </w:r>
      <w:r>
        <w:br/>
      </w:r>
      <w:r>
        <w:rPr>
          <w:rStyle w:val="VerbatimChar"/>
        </w:rPr>
        <w:t xml:space="preserve">    EmailService[("Serviço de E-mail&lt;br/&gt;SendGrid")]</w:t>
      </w:r>
      <w:r>
        <w:br/>
      </w:r>
      <w:r>
        <w:rPr>
          <w:rStyle w:val="VerbatimChar"/>
        </w:rPr>
        <w:t xml:space="preserve">    OneSignal[("OneSignal&lt;br/&gt;push notification")]</w:t>
      </w:r>
      <w:r>
        <w:br/>
      </w:r>
      <w:r>
        <w:br/>
      </w:r>
      <w:r>
        <w:rPr>
          <w:rStyle w:val="VerbatimChar"/>
        </w:rPr>
        <w:t xml:space="preserve">    TemporalServer --&gt;|orquestra activity| Notifier</w:t>
      </w:r>
      <w:r>
        <w:br/>
      </w:r>
      <w:r>
        <w:rPr>
          <w:rStyle w:val="VerbatimChar"/>
        </w:rPr>
        <w:t xml:space="preserve">    Notifier --&gt;|"publica resultado/erro (tópico)"| PubSub</w:t>
      </w:r>
      <w:r>
        <w:br/>
      </w:r>
      <w:r>
        <w:rPr>
          <w:rStyle w:val="VerbatimChar"/>
        </w:rPr>
        <w:t xml:space="preserve">    PubSub --&gt;|"subscription: view"| SinistroAPI</w:t>
      </w:r>
      <w:r>
        <w:br/>
      </w:r>
      <w:r>
        <w:rPr>
          <w:rStyle w:val="VerbatimChar"/>
        </w:rPr>
        <w:t xml:space="preserve">    SinistroAPI --&gt;|atualiza status final| SinistroDB</w:t>
      </w:r>
      <w:r>
        <w:br/>
      </w:r>
      <w:r>
        <w:rPr>
          <w:rStyle w:val="VerbatimChar"/>
        </w:rPr>
        <w:t xml:space="preserve">    PubSub --&gt;|"subscription: notificação (independente)"| NotificationAPI</w:t>
      </w:r>
      <w:r>
        <w:br/>
      </w:r>
      <w:r>
        <w:rPr>
          <w:rStyle w:val="VerbatimChar"/>
        </w:rPr>
        <w:t xml:space="preserve">    NotificationAPI --&gt;|envia e-mail| EmailService</w:t>
      </w:r>
      <w:r>
        <w:br/>
      </w:r>
      <w:r>
        <w:rPr>
          <w:rStyle w:val="VerbatimChar"/>
        </w:rPr>
        <w:t xml:space="preserve">    NotificationAPI --&gt;|dispara push| OneSignal</w:t>
      </w:r>
      <w:r>
        <w:br/>
      </w:r>
      <w:r>
        <w:rPr>
          <w:rStyle w:val="VerbatimChar"/>
        </w:rPr>
        <w:t xml:space="preserve">    EmailService --&gt;|notifica por e-mail| Regulador</w:t>
      </w:r>
      <w:r>
        <w:br/>
      </w:r>
      <w:r>
        <w:rPr>
          <w:rStyle w:val="VerbatimChar"/>
        </w:rPr>
        <w:t xml:space="preserve">    EmailService --&gt;|notifica por e-mail| Corretor</w:t>
      </w:r>
      <w:r>
        <w:br/>
      </w:r>
      <w:r>
        <w:rPr>
          <w:rStyle w:val="VerbatimChar"/>
        </w:rPr>
        <w:t xml:space="preserve">    OneSignal --&gt;|push notification| Segurada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</w:rPr>
        <w:t xml:space="preserve">Notifier</w:t>
      </w:r>
      <w:r>
        <w:t xml:space="preserve"> </w:t>
      </w:r>
      <w:r>
        <w:t xml:space="preserve">publica o resultado (ou erro) num tópico do</w:t>
      </w:r>
      <w:r>
        <w:t xml:space="preserve"> </w:t>
      </w:r>
      <w:r>
        <w:rPr>
          <w:b/>
        </w:rPr>
        <w:t xml:space="preserve">Google Cloud Pub/Sub</w:t>
      </w:r>
      <w:r>
        <w:t xml:space="preserve">, consumido por duas</w:t>
      </w:r>
      <w:r>
        <w:t xml:space="preserve"> </w:t>
      </w:r>
      <w:r>
        <w:rPr>
          <w:i/>
        </w:rPr>
        <w:t xml:space="preserve">subscriptions</w:t>
      </w:r>
      <w:r>
        <w:t xml:space="preserve"> </w:t>
      </w:r>
      <w:r>
        <w:t xml:space="preserve">independentes entre si: a</w:t>
      </w:r>
      <w:r>
        <w:t xml:space="preserve"> </w:t>
      </w:r>
      <w:r>
        <w:rPr>
          <w:b/>
        </w:rPr>
        <w:t xml:space="preserve">API de Sinistros</w:t>
      </w:r>
      <w:r>
        <w:t xml:space="preserve"> </w:t>
      </w:r>
      <w:r>
        <w:t xml:space="preserve">atualiza a</w:t>
      </w:r>
      <w:r>
        <w:t xml:space="preserve"> </w:t>
      </w:r>
      <w:r>
        <w:rPr>
          <w:b/>
        </w:rPr>
        <w:t xml:space="preserve">Base de Sinistros</w:t>
      </w:r>
      <w:r>
        <w:t xml:space="preserve"> </w:t>
      </w:r>
      <w:r>
        <w:t xml:space="preserve">com o status final e o link do documento; em paralelo, a</w:t>
      </w:r>
      <w:r>
        <w:t xml:space="preserve"> </w:t>
      </w:r>
      <w:r>
        <w:rPr>
          <w:b/>
        </w:rPr>
        <w:t xml:space="preserve">API de Notificação</w:t>
      </w:r>
      <w:r>
        <w:t xml:space="preserve"> </w:t>
      </w:r>
      <w:r>
        <w:t xml:space="preserve">— desacoplada e reutilizável por outros domínios de negócio que venham a integrar a plataforma (RF15) — dispara o aviso ativo: e-mail via</w:t>
      </w:r>
      <w:r>
        <w:t xml:space="preserve"> </w:t>
      </w:r>
      <w:r>
        <w:rPr>
          <w:b/>
        </w:rPr>
        <w:t xml:space="preserve">SendGrid</w:t>
      </w:r>
      <w:r>
        <w:t xml:space="preserve"> </w:t>
      </w:r>
      <w:r>
        <w:t xml:space="preserve">para regulador/corretor, push via</w:t>
      </w:r>
      <w:r>
        <w:t xml:space="preserve"> </w:t>
      </w:r>
      <w:r>
        <w:rPr>
          <w:b/>
        </w:rPr>
        <w:t xml:space="preserve">OneSignal</w:t>
      </w:r>
      <w:r>
        <w:t xml:space="preserve"> </w:t>
      </w:r>
      <w:r>
        <w:t xml:space="preserve">para a segurada. Nenhum dos dois consumidores depende do outro: se a API de Notificação estiver indisponível, a atualização da Base de Sinistros não é afetada, e vice-versa. Os clientes (Mobile App, Web Portal, Web Console) sempre podem consultar a Base de Sinistros sob demanda, nunca o estado interno da orquestração, mas não dependem só da consulta: a notificação ativa avisa proativamente quando o resultado sai.</w:t>
      </w:r>
    </w:p>
    <w:p>
      <w:pPr>
        <w:pStyle w:val="Heading3"/>
      </w:pPr>
      <w:bookmarkStart w:id="36" w:name="diagrama-de-componentes"/>
      <w:r>
        <w:t xml:space="preserve">3.3 Diagrama de Componentes</w:t>
      </w:r>
      <w:bookmarkEnd w:id="36"/>
    </w:p>
    <w:p>
      <w:pPr>
        <w:pStyle w:val="FirstParagraph"/>
      </w:pPr>
      <w:r>
        <w:rPr>
          <w:i/>
        </w:rPr>
        <w:t xml:space="preserve">(CA-1.8 — preferencialmente UML)</w:t>
      </w:r>
    </w:p>
    <w:p>
      <w:pPr>
        <w:pStyle w:val="BodyText"/>
      </w:pPr>
      <w:r>
        <w:rPr>
          <w:rStyle w:val="VerbatimChar"/>
        </w:rPr>
        <w:t xml:space="preserve">RASCUNHO — versão final deve ser redesenhada em ferramenta UML (draw.io, PlantUML, StarUML) para o PDF de entrega.</w:t>
      </w:r>
    </w:p>
    <w:p>
      <w:pPr>
        <w:pStyle w:val="BodyText"/>
      </w:pPr>
      <w:r>
        <w:t xml:space="preserve">O diagrama detalha os três containers mais centrais e específicos da arquitetura —</w:t>
      </w:r>
      <w:r>
        <w:t xml:space="preserve"> </w:t>
      </w:r>
      <w:r>
        <w:rPr>
          <w:b/>
        </w:rPr>
        <w:t xml:space="preserve">API de Sinistros</w:t>
      </w:r>
      <w:r>
        <w:t xml:space="preserve"> </w:t>
      </w:r>
      <w:r>
        <w:t xml:space="preserve">(CQRS, gatilho + view),</w:t>
      </w:r>
      <w:r>
        <w:t xml:space="preserve"> </w:t>
      </w:r>
      <w:r>
        <w:rPr>
          <w:b/>
        </w:rPr>
        <w:t xml:space="preserve">MCP Host (Spring MCP Client)</w:t>
      </w:r>
      <w:r>
        <w:t xml:space="preserve"> </w:t>
      </w:r>
      <w:r>
        <w:t xml:space="preserve">e</w:t>
      </w:r>
      <w:r>
        <w:t xml:space="preserve"> </w:t>
      </w:r>
      <w:r>
        <w:rPr>
          <w:b/>
        </w:rPr>
        <w:t xml:space="preserve">Tools API (Spring MCP Service/Server)</w:t>
      </w:r>
      <w:r>
        <w:t xml:space="preserve"> </w:t>
      </w:r>
      <w:r>
        <w:t xml:space="preserve">— que juntos implementam a entrada do pipeline e o</w:t>
      </w:r>
      <w:r>
        <w:t xml:space="preserve"> </w:t>
      </w:r>
      <w:r>
        <w:rPr>
          <w:i/>
        </w:rPr>
        <w:t xml:space="preserve">step 2</w:t>
      </w:r>
      <w:r>
        <w:t xml:space="preserve"> </w:t>
      </w:r>
      <w:r>
        <w:t xml:space="preserve">(os demais containers, como Init Worker, API de Notificação, Report Builder e Document Generator, têm estrutura interna mais simples e não são detalhados aqui).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IMCPTool {</w:t>
      </w:r>
      <w:r>
        <w:br/>
      </w:r>
      <w:r>
        <w:rPr>
          <w:rStyle w:val="VerbatimChar"/>
        </w:rPr>
        <w:t xml:space="preserve">        &lt;&lt;interface&gt;&gt;</w:t>
      </w:r>
      <w:r>
        <w:br/>
      </w:r>
      <w:r>
        <w:rPr>
          <w:rStyle w:val="VerbatimChar"/>
        </w:rPr>
        <w:t xml:space="preserve">        +tools_list()</w:t>
      </w:r>
      <w:r>
        <w:br/>
      </w:r>
      <w:r>
        <w:rPr>
          <w:rStyle w:val="VerbatimChar"/>
        </w:rPr>
        <w:t xml:space="preserve">        +tools_call(name, args)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IApoliceSinistroQuery {</w:t>
      </w:r>
      <w:r>
        <w:br/>
      </w:r>
      <w:r>
        <w:rPr>
          <w:rStyle w:val="VerbatimChar"/>
        </w:rPr>
        <w:t xml:space="preserve">        &lt;&lt;interface&gt;&gt;</w:t>
      </w:r>
      <w:r>
        <w:br/>
      </w:r>
      <w:r>
        <w:rPr>
          <w:rStyle w:val="VerbatimChar"/>
        </w:rPr>
        <w:t xml:space="preserve">        +consultarApolice(id)</w:t>
      </w:r>
      <w:r>
        <w:br/>
      </w:r>
      <w:r>
        <w:rPr>
          <w:rStyle w:val="VerbatimChar"/>
        </w:rPr>
        <w:t xml:space="preserve">        +consultarSinistro(id)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IDocumentCollection {</w:t>
      </w:r>
      <w:r>
        <w:br/>
      </w:r>
      <w:r>
        <w:rPr>
          <w:rStyle w:val="VerbatimChar"/>
        </w:rPr>
        <w:t xml:space="preserve">        &lt;&lt;interface&gt;&gt;</w:t>
      </w:r>
      <w:r>
        <w:br/>
      </w:r>
      <w:r>
        <w:rPr>
          <w:rStyle w:val="VerbatimChar"/>
        </w:rPr>
        <w:t xml:space="preserve">        +coletarFotos(sinistroId)</w:t>
      </w:r>
      <w:r>
        <w:br/>
      </w:r>
      <w:r>
        <w:rPr>
          <w:rStyle w:val="VerbatimChar"/>
        </w:rPr>
        <w:t xml:space="preserve">        +coletarLaudos(sinistroId)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IReadModel {</w:t>
      </w:r>
      <w:r>
        <w:br/>
      </w:r>
      <w:r>
        <w:rPr>
          <w:rStyle w:val="VerbatimChar"/>
        </w:rPr>
        <w:t xml:space="preserve">        &lt;&lt;interface&gt;&gt;</w:t>
      </w:r>
      <w:r>
        <w:br/>
      </w:r>
      <w:r>
        <w:rPr>
          <w:rStyle w:val="VerbatimChar"/>
        </w:rPr>
        <w:t xml:space="preserve">        +salvar(sinistroId, dados)</w:t>
      </w:r>
      <w:r>
        <w:br/>
      </w:r>
      <w:r>
        <w:rPr>
          <w:rStyle w:val="VerbatimChar"/>
        </w:rPr>
        <w:t xml:space="preserve">        +consultar(sinistroId)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IObjectStorage {</w:t>
      </w:r>
      <w:r>
        <w:br/>
      </w:r>
      <w:r>
        <w:rPr>
          <w:rStyle w:val="VerbatimChar"/>
        </w:rPr>
        <w:t xml:space="preserve">        &lt;&lt;interface&gt;&gt;</w:t>
      </w:r>
      <w:r>
        <w:br/>
      </w:r>
      <w:r>
        <w:rPr>
          <w:rStyle w:val="VerbatimChar"/>
        </w:rPr>
        <w:t xml:space="preserve">        +gravar(chave, dados)</w:t>
      </w:r>
      <w:r>
        <w:br/>
      </w:r>
      <w:r>
        <w:rPr>
          <w:rStyle w:val="VerbatimChar"/>
        </w:rPr>
        <w:t xml:space="preserve">        +ler(chave)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%% API de Sinistros (CQRS)</w:t>
      </w:r>
      <w:r>
        <w:br/>
      </w:r>
      <w:r>
        <w:rPr>
          <w:rStyle w:val="VerbatimChar"/>
        </w:rPr>
        <w:t xml:space="preserve">    class CommandHandler {</w:t>
      </w:r>
      <w:r>
        <w:br/>
      </w:r>
      <w:r>
        <w:rPr>
          <w:rStyle w:val="VerbatimChar"/>
        </w:rPr>
        <w:t xml:space="preserve">        &lt;&lt;Component&gt;&gt;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QueryHandler {</w:t>
      </w:r>
      <w:r>
        <w:br/>
      </w:r>
      <w:r>
        <w:rPr>
          <w:rStyle w:val="VerbatimChar"/>
        </w:rPr>
        <w:t xml:space="preserve">        &lt;&lt;Component&gt;&gt;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NotificationConsumer {</w:t>
      </w:r>
      <w:r>
        <w:br/>
      </w:r>
      <w:r>
        <w:rPr>
          <w:rStyle w:val="VerbatimChar"/>
        </w:rPr>
        <w:t xml:space="preserve">        &lt;&lt;Component&gt;&gt;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ReadModelRepository {</w:t>
      </w:r>
      <w:r>
        <w:br/>
      </w:r>
      <w:r>
        <w:rPr>
          <w:rStyle w:val="VerbatimChar"/>
        </w:rPr>
        <w:t xml:space="preserve">        &lt;&lt;Component&gt;&gt;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%% MCP Host / Agent Platform</w:t>
      </w:r>
      <w:r>
        <w:br/>
      </w:r>
      <w:r>
        <w:rPr>
          <w:rStyle w:val="VerbatimChar"/>
        </w:rPr>
        <w:t xml:space="preserve">    class AgentOrchestrator {</w:t>
      </w:r>
      <w:r>
        <w:br/>
      </w:r>
      <w:r>
        <w:rPr>
          <w:rStyle w:val="VerbatimChar"/>
        </w:rPr>
        <w:t xml:space="preserve">        &lt;&lt;Component&gt;&gt;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LLMProviderAdapter {</w:t>
      </w:r>
      <w:r>
        <w:br/>
      </w:r>
      <w:r>
        <w:rPr>
          <w:rStyle w:val="VerbatimChar"/>
        </w:rPr>
        <w:t xml:space="preserve">        &lt;&lt;Component&gt;&gt;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PromptConfigStore {</w:t>
      </w:r>
      <w:r>
        <w:br/>
      </w:r>
      <w:r>
        <w:rPr>
          <w:rStyle w:val="VerbatimChar"/>
        </w:rPr>
        <w:t xml:space="preserve">        &lt;&lt;Component&gt;&gt;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MCPClientManager {</w:t>
      </w:r>
      <w:r>
        <w:br/>
      </w:r>
      <w:r>
        <w:rPr>
          <w:rStyle w:val="VerbatimChar"/>
        </w:rPr>
        <w:t xml:space="preserve">        &lt;&lt;Component&gt;&gt;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%% Tools API — MCP Server</w:t>
      </w:r>
      <w:r>
        <w:br/>
      </w:r>
      <w:r>
        <w:rPr>
          <w:rStyle w:val="VerbatimChar"/>
        </w:rPr>
        <w:t xml:space="preserve">    class MCPServerEndpoint {</w:t>
      </w:r>
      <w:r>
        <w:br/>
      </w:r>
      <w:r>
        <w:rPr>
          <w:rStyle w:val="VerbatimChar"/>
        </w:rPr>
        <w:t xml:space="preserve">        &lt;&lt;Component&gt;&gt;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ToolRegistry {</w:t>
      </w:r>
      <w:r>
        <w:br/>
      </w:r>
      <w:r>
        <w:rPr>
          <w:rStyle w:val="VerbatimChar"/>
        </w:rPr>
        <w:t xml:space="preserve">        &lt;&lt;Component&gt;&gt;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ApoliceSinistroQueryService {</w:t>
      </w:r>
      <w:r>
        <w:br/>
      </w:r>
      <w:r>
        <w:rPr>
          <w:rStyle w:val="VerbatimChar"/>
        </w:rPr>
        <w:t xml:space="preserve">        &lt;&lt;Component&gt;&gt;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DocumentCollector {</w:t>
      </w:r>
      <w:r>
        <w:br/>
      </w:r>
      <w:r>
        <w:rPr>
          <w:rStyle w:val="VerbatimChar"/>
        </w:rPr>
        <w:t xml:space="preserve">        &lt;&lt;Component&gt;&gt;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CacheAdapter {</w:t>
      </w:r>
      <w:r>
        <w:br/>
      </w:r>
      <w:r>
        <w:rPr>
          <w:rStyle w:val="VerbatimChar"/>
        </w:rPr>
        <w:t xml:space="preserve">        &lt;&lt;Component&gt;&gt;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StorageWriter {</w:t>
      </w:r>
      <w:r>
        <w:br/>
      </w:r>
      <w:r>
        <w:rPr>
          <w:rStyle w:val="VerbatimChar"/>
        </w:rPr>
        <w:t xml:space="preserve">        &lt;&lt;Component&gt;&gt;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CommandHandler ..&gt; IReadModel : usa</w:t>
      </w:r>
      <w:r>
        <w:br/>
      </w:r>
      <w:r>
        <w:rPr>
          <w:rStyle w:val="VerbatimChar"/>
        </w:rPr>
        <w:t xml:space="preserve">    QueryHandler ..&gt; IReadModel : usa</w:t>
      </w:r>
      <w:r>
        <w:br/>
      </w:r>
      <w:r>
        <w:rPr>
          <w:rStyle w:val="VerbatimChar"/>
        </w:rPr>
        <w:t xml:space="preserve">    NotificationConsumer ..&gt; IReadModel : usa</w:t>
      </w:r>
      <w:r>
        <w:br/>
      </w:r>
      <w:r>
        <w:rPr>
          <w:rStyle w:val="VerbatimChar"/>
        </w:rPr>
        <w:t xml:space="preserve">    ReadModelRepository ..|&gt; IReadModel</w:t>
      </w:r>
      <w:r>
        <w:br/>
      </w:r>
      <w:r>
        <w:rPr>
          <w:rStyle w:val="VerbatimChar"/>
        </w:rPr>
        <w:t xml:space="preserve">    AgentOrchestrator --&gt; LLMProviderAdapter</w:t>
      </w:r>
      <w:r>
        <w:br/>
      </w:r>
      <w:r>
        <w:rPr>
          <w:rStyle w:val="VerbatimChar"/>
        </w:rPr>
        <w:t xml:space="preserve">    AgentOrchestrator --&gt; PromptConfigStore</w:t>
      </w:r>
      <w:r>
        <w:br/>
      </w:r>
      <w:r>
        <w:rPr>
          <w:rStyle w:val="VerbatimChar"/>
        </w:rPr>
        <w:t xml:space="preserve">    AgentOrchestrator --&gt; MCPClientManager</w:t>
      </w:r>
      <w:r>
        <w:br/>
      </w:r>
      <w:r>
        <w:rPr>
          <w:rStyle w:val="VerbatimChar"/>
        </w:rPr>
        <w:t xml:space="preserve">    MCPClientManager ..&gt; IMCPTool : consome</w:t>
      </w:r>
      <w:r>
        <w:br/>
      </w:r>
      <w:r>
        <w:rPr>
          <w:rStyle w:val="VerbatimChar"/>
        </w:rPr>
        <w:t xml:space="preserve">    MCPServerEndpoint ..|&gt; IMCPTool</w:t>
      </w:r>
      <w:r>
        <w:br/>
      </w:r>
      <w:r>
        <w:rPr>
          <w:rStyle w:val="VerbatimChar"/>
        </w:rPr>
        <w:t xml:space="preserve">    MCPServerEndpoint --&gt; ToolRegistry</w:t>
      </w:r>
      <w:r>
        <w:br/>
      </w:r>
      <w:r>
        <w:rPr>
          <w:rStyle w:val="VerbatimChar"/>
        </w:rPr>
        <w:t xml:space="preserve">    ToolRegistry ..&gt; IApoliceSinistroQuery : usa</w:t>
      </w:r>
      <w:r>
        <w:br/>
      </w:r>
      <w:r>
        <w:rPr>
          <w:rStyle w:val="VerbatimChar"/>
        </w:rPr>
        <w:t xml:space="preserve">    ToolRegistry ..&gt; IDocumentCollection : usa</w:t>
      </w:r>
      <w:r>
        <w:br/>
      </w:r>
      <w:r>
        <w:rPr>
          <w:rStyle w:val="VerbatimChar"/>
        </w:rPr>
        <w:t xml:space="preserve">    ApoliceSinistroQueryService ..|&gt; IApoliceSinistroQuery</w:t>
      </w:r>
      <w:r>
        <w:br/>
      </w:r>
      <w:r>
        <w:rPr>
          <w:rStyle w:val="VerbatimChar"/>
        </w:rPr>
        <w:t xml:space="preserve">    DocumentCollector ..|&gt; IDocumentCollection</w:t>
      </w:r>
      <w:r>
        <w:br/>
      </w:r>
      <w:r>
        <w:rPr>
          <w:rStyle w:val="VerbatimChar"/>
        </w:rPr>
        <w:t xml:space="preserve">    ApoliceSinistroQueryService --&gt; CacheAdapter</w:t>
      </w:r>
      <w:r>
        <w:br/>
      </w:r>
      <w:r>
        <w:rPr>
          <w:rStyle w:val="VerbatimChar"/>
        </w:rPr>
        <w:t xml:space="preserve">    DocumentCollector ..&gt; IObjectStorage : usa</w:t>
      </w:r>
      <w:r>
        <w:br/>
      </w:r>
      <w:r>
        <w:rPr>
          <w:rStyle w:val="VerbatimChar"/>
        </w:rPr>
        <w:t xml:space="preserve">    StorageWriter ..|&gt; IObjectStorage</w:t>
      </w:r>
    </w:p>
    <w:p>
      <w:pPr>
        <w:pStyle w:val="FirstParagraph"/>
      </w:pPr>
      <w:r>
        <w:rPr>
          <w:b/>
        </w:rPr>
        <w:t xml:space="preserve">Estilos/padrões arquiteturais utilizados:</w:t>
      </w:r>
      <w:r>
        <w:t xml:space="preserve"> </w:t>
      </w:r>
      <w:r>
        <w:rPr>
          <w:i/>
        </w:rPr>
        <w:t xml:space="preserve">CQRS</w:t>
      </w:r>
      <w:r>
        <w:t xml:space="preserve"> </w:t>
      </w:r>
      <w:r>
        <w:t xml:space="preserve">(API de Sinistros: Command Handler separado do Query Handler, cada um com seu próprio caminho de dados);</w:t>
      </w:r>
      <w:r>
        <w:t xml:space="preserve"> </w:t>
      </w:r>
      <w:r>
        <w:rPr>
          <w:i/>
        </w:rPr>
        <w:t xml:space="preserve">Publish-Subscribe</w:t>
      </w:r>
      <w:r>
        <w:t xml:space="preserve"> </w:t>
      </w:r>
      <w:r>
        <w:t xml:space="preserve">(Pub/Sub com duas</w:t>
      </w:r>
      <w:r>
        <w:t xml:space="preserve"> </w:t>
      </w:r>
      <w:r>
        <w:rPr>
          <w:i/>
        </w:rPr>
        <w:t xml:space="preserve">subscriptions</w:t>
      </w:r>
      <w:r>
        <w:t xml:space="preserve"> </w:t>
      </w:r>
      <w:r>
        <w:t xml:space="preserve">independentes: API de Sinistros e API de Notificação consomem o mesmo evento do Notifier de forma independente, sem se conhecerem);</w:t>
      </w:r>
      <w:r>
        <w:t xml:space="preserve"> </w:t>
      </w:r>
      <w:r>
        <w:rPr>
          <w:i/>
        </w:rPr>
        <w:t xml:space="preserve">Adapter</w:t>
      </w:r>
      <w:r>
        <w:t xml:space="preserve"> </w:t>
      </w:r>
      <w:r>
        <w:t xml:space="preserve">(LLMProviderAdapter, isolando o Agent Orchestrator do provedor de LLM específico);</w:t>
      </w:r>
      <w:r>
        <w:t xml:space="preserve"> </w:t>
      </w:r>
      <w:r>
        <w:rPr>
          <w:i/>
        </w:rPr>
        <w:t xml:space="preserve">Registry</w:t>
      </w:r>
      <w:r>
        <w:t xml:space="preserve"> </w:t>
      </w:r>
      <w:r>
        <w:t xml:space="preserve">(ToolRegistry, permitindo cadastrar novas tools sem alterar o MCP Server Endpoint);</w:t>
      </w:r>
      <w:r>
        <w:t xml:space="preserve"> </w:t>
      </w:r>
      <w:r>
        <w:rPr>
          <w:i/>
        </w:rPr>
        <w:t xml:space="preserve">Facade</w:t>
      </w:r>
      <w:r>
        <w:t xml:space="preserve"> </w:t>
      </w:r>
      <w:r>
        <w:t xml:space="preserve">(MCPServerEndpoint, expondo um ponto único de entrada MCP sobre múltiplas tools internas);</w:t>
      </w:r>
      <w:r>
        <w:t xml:space="preserve"> </w:t>
      </w:r>
      <w:r>
        <w:rPr>
          <w:i/>
        </w:rPr>
        <w:t xml:space="preserve">Gateway/Repository</w:t>
      </w:r>
      <w:r>
        <w:t xml:space="preserve"> </w:t>
      </w:r>
      <w:r>
        <w:t xml:space="preserve">(ApoliceSinistroQueryService, StorageWriter e ReadModelRepository, isolando o acesso a sistemas externos e à base de leitura).</w:t>
      </w:r>
    </w:p>
    <w:p>
      <w:pPr>
        <w:pStyle w:val="BodyText"/>
      </w:pPr>
      <w:r>
        <w:rPr>
          <w:b/>
        </w:rPr>
        <w:t xml:space="preserve">Descrição dos componentes: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Papel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Classificação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Command Handler</w:t>
            </w:r>
          </w:p>
        </w:tc>
        <w:tc>
          <w:p>
            <w:pPr>
              <w:pStyle w:val="Compact"/>
              <w:jc w:val="left"/>
            </w:pPr>
            <w:r>
              <w:t xml:space="preserve">Recebe a solicitação de disparo (do API Gateway ou do Workflow/BPM), valida uma chave de idempotência (gerada pelo cliente — essencial no canal self-service, onde o</w:t>
            </w:r>
            <w:r>
              <w:t xml:space="preserve"> </w:t>
            </w:r>
            <w:r>
              <w:rPr>
                <w:rStyle w:val="VerbatimChar"/>
              </w:rPr>
              <w:t xml:space="preserve">sinistro_id</w:t>
            </w:r>
            <w:r>
              <w:t xml:space="preserve"> </w:t>
            </w:r>
            <w:r>
              <w:t xml:space="preserve">ainda não existe no momento do envio) e inicia a execução no Temporal Server usando um Workflow ID determinístico (dedup); a gravação inicial na Base de Sinistros (view) também é um UPSERT idempotente</w:t>
            </w:r>
          </w:p>
        </w:tc>
        <w:tc>
          <w:p>
            <w:pPr>
              <w:pStyle w:val="Compact"/>
              <w:jc w:val="left"/>
            </w:pPr>
            <w:r>
              <w:t xml:space="preserve">A desenvolver (usa biblioteca reutilizada — Temporal Java SDK)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Query Handler</w:t>
            </w:r>
          </w:p>
        </w:tc>
        <w:tc>
          <w:p>
            <w:pPr>
              <w:pStyle w:val="Compact"/>
              <w:jc w:val="left"/>
            </w:pPr>
            <w:r>
              <w:t xml:space="preserve">Recebe a solicitação de consulta de status/histórico (RF14) e lê da Base de Sinistros, isolada do estado interno da orquestração</w:t>
            </w:r>
          </w:p>
        </w:tc>
        <w:tc>
          <w:p>
            <w:pPr>
              <w:pStyle w:val="Compact"/>
              <w:jc w:val="left"/>
            </w:pPr>
            <w:r>
              <w:t xml:space="preserve">A desenvolver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Notification Consumer</w:t>
            </w:r>
          </w:p>
        </w:tc>
        <w:tc>
          <w:p>
            <w:pPr>
              <w:pStyle w:val="Compact"/>
              <w:jc w:val="left"/>
            </w:pPr>
            <w:r>
              <w:t xml:space="preserve">Consome o evento final (sucesso/erro) publicado pelo Notifier via</w:t>
            </w:r>
            <w:r>
              <w:t xml:space="preserve"> </w:t>
            </w:r>
            <w:r>
              <w:rPr>
                <w:i/>
              </w:rPr>
              <w:t xml:space="preserve">subscription</w:t>
            </w:r>
            <w:r>
              <w:t xml:space="preserve"> </w:t>
            </w:r>
            <w:r>
              <w:t xml:space="preserve">própria no tópico do Pub/Sub (entrega</w:t>
            </w:r>
            <w:r>
              <w:t xml:space="preserve"> </w:t>
            </w:r>
            <w:r>
              <w:rPr>
                <w:i/>
              </w:rPr>
              <w:t xml:space="preserve">at-least-once</w:t>
            </w:r>
            <w:r>
              <w:t xml:space="preserve">) e aplica UPSERT idempotente na Base de Sinistros por</w:t>
            </w:r>
            <w:r>
              <w:t xml:space="preserve"> </w:t>
            </w:r>
            <w:r>
              <w:rPr>
                <w:rStyle w:val="VerbatimChar"/>
              </w:rPr>
              <w:t xml:space="preserve">sinistro_id</w:t>
            </w:r>
            <w:r>
              <w:t xml:space="preserve"> </w:t>
            </w:r>
            <w:r>
              <w:t xml:space="preserve">(seguro contra reentrega). Consumidor independente da API de Notificação — as duas reagem ao mesmo evento sem se conhecerem</w:t>
            </w:r>
          </w:p>
        </w:tc>
        <w:tc>
          <w:p>
            <w:pPr>
              <w:pStyle w:val="Compact"/>
              <w:jc w:val="left"/>
            </w:pPr>
            <w:r>
              <w:t xml:space="preserve">A desenvolver (usa biblioteca reutilizada — cliente Google Cloud Pub/Sub)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Read Model Repository</w:t>
            </w:r>
          </w:p>
        </w:tc>
        <w:tc>
          <w:p>
            <w:pPr>
              <w:pStyle w:val="Compact"/>
              <w:jc w:val="left"/>
            </w:pPr>
            <w:r>
              <w:t xml:space="preserve">Persiste e consulta a Base de Sinistros (modelo de leitura), usada pelo Query Handler e pelo Notification Consumer</w:t>
            </w:r>
          </w:p>
        </w:tc>
        <w:tc>
          <w:p>
            <w:pPr>
              <w:pStyle w:val="Compact"/>
              <w:jc w:val="left"/>
            </w:pPr>
            <w:r>
              <w:t xml:space="preserve">A desenvolver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 Orchestrator</w:t>
            </w:r>
          </w:p>
        </w:tc>
        <w:tc>
          <w:p>
            <w:pPr>
              <w:pStyle w:val="Compact"/>
              <w:jc w:val="left"/>
            </w:pPr>
            <w:r>
              <w:t xml:space="preserve">Coordena o ciclo do agente: decide quando chamar o LLM, quando invocar uma tool e quando encerrar, retornando o resultado consolidado</w:t>
            </w:r>
          </w:p>
        </w:tc>
        <w:tc>
          <w:p>
            <w:pPr>
              <w:pStyle w:val="Compact"/>
              <w:jc w:val="left"/>
            </w:pPr>
            <w:r>
              <w:t xml:space="preserve">A desenvolver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 Provider Adapter</w:t>
            </w:r>
          </w:p>
        </w:tc>
        <w:tc>
          <w:p>
            <w:pPr>
              <w:pStyle w:val="Compact"/>
              <w:jc w:val="left"/>
            </w:pPr>
            <w:r>
              <w:t xml:space="preserve">Abstrai o provedor de LLM (OpenAI, Anthropic, Gemini) via Spring AI</w:t>
            </w:r>
            <w:r>
              <w:t xml:space="preserve"> </w:t>
            </w:r>
            <w:r>
              <w:rPr>
                <w:rStyle w:val="VerbatimChar"/>
              </w:rPr>
              <w:t xml:space="preserve">ChatClient</w:t>
            </w:r>
            <w:r>
              <w:t xml:space="preserve">, permitindo trocar o modelo sem alterar o Agent Orchestrator</w:t>
            </w:r>
          </w:p>
        </w:tc>
        <w:tc>
          <w:p>
            <w:pPr>
              <w:pStyle w:val="Compact"/>
              <w:jc w:val="left"/>
            </w:pPr>
            <w:r>
              <w:t xml:space="preserve">A desenvolver (usa biblioteca reutilizada — Spring AI)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Prompt Config Store</w:t>
            </w:r>
          </w:p>
        </w:tc>
        <w:tc>
          <w:p>
            <w:pPr>
              <w:pStyle w:val="Compact"/>
              <w:jc w:val="left"/>
            </w:pPr>
            <w:r>
              <w:t xml:space="preserve">Armazena e disponibiliza os prompts, variáveis de ambiente, chaves de API dos modelos e o mapeamento de URLs/portas dos MCP Servers, configurados via Agent Console (RF05) e persistidos no Cloud SQL for PostgreSQL</w:t>
            </w:r>
          </w:p>
        </w:tc>
        <w:tc>
          <w:p>
            <w:pPr>
              <w:pStyle w:val="Compact"/>
              <w:jc w:val="left"/>
            </w:pPr>
            <w:r>
              <w:t xml:space="preserve">A desenvolver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 Client Manager</w:t>
            </w:r>
          </w:p>
        </w:tc>
        <w:tc>
          <w:p>
            <w:pPr>
              <w:pStyle w:val="Compact"/>
              <w:jc w:val="left"/>
            </w:pPr>
            <w:r>
              <w:t xml:space="preserve">Conecta-se aos MCP Services via transporte (Streamable HTTP, SSE ou Stdio), descobre dinamicamente as tools disponíveis (</w:t>
            </w:r>
            <w:r>
              <w:rPr>
                <w:rStyle w:val="VerbatimChar"/>
              </w:rPr>
              <w:t xml:space="preserve">tools/list</w:t>
            </w:r>
            <w:r>
              <w:t xml:space="preserve">) e injeta as referências no LLM antes de invocá-las (</w:t>
            </w:r>
            <w:r>
              <w:rPr>
                <w:rStyle w:val="VerbatimChar"/>
              </w:rPr>
              <w:t xml:space="preserve">tools/call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A desenvolver (usa biblioteca reutilizada — Spring AI MCP Client)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 Server Endpoint</w:t>
            </w:r>
          </w:p>
        </w:tc>
        <w:tc>
          <w:p>
            <w:pPr>
              <w:pStyle w:val="Compact"/>
              <w:jc w:val="left"/>
            </w:pPr>
            <w:r>
              <w:t xml:space="preserve">Expõe as tools da Tools API via protocolo MCP (funções anotadas com</w:t>
            </w:r>
            <w:r>
              <w:t xml:space="preserve"> </w:t>
            </w:r>
            <w:r>
              <w:rPr>
                <w:rStyle w:val="VerbatimChar"/>
              </w:rPr>
              <w:t xml:space="preserve">@McpTool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i/>
              </w:rPr>
              <w:t xml:space="preserve">resources</w:t>
            </w:r>
            <w:r>
              <w:t xml:space="preserve">), aplicando validação de entrada, permissões de acesso e rate limiting</w:t>
            </w:r>
          </w:p>
        </w:tc>
        <w:tc>
          <w:p>
            <w:pPr>
              <w:pStyle w:val="Compact"/>
              <w:jc w:val="left"/>
            </w:pPr>
            <w:r>
              <w:t xml:space="preserve">A desenvolver (usa biblioteca reutilizada — Spring AI MCP Server)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 Registry</w:t>
            </w:r>
          </w:p>
        </w:tc>
        <w:tc>
          <w:p>
            <w:pPr>
              <w:pStyle w:val="Compact"/>
              <w:jc w:val="left"/>
            </w:pPr>
            <w:r>
              <w:t xml:space="preserve">Registra e descreve as tools disponíveis (ex.: consultar apólice, consultar sinistro, coletar documentos)</w:t>
            </w:r>
          </w:p>
        </w:tc>
        <w:tc>
          <w:p>
            <w:pPr>
              <w:pStyle w:val="Compact"/>
              <w:jc w:val="left"/>
            </w:pPr>
            <w:r>
              <w:t xml:space="preserve">A desenvolver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Apólice/Sinistro Query Service</w:t>
            </w:r>
          </w:p>
        </w:tc>
        <w:tc>
          <w:p>
            <w:pPr>
              <w:pStyle w:val="Compact"/>
              <w:jc w:val="left"/>
            </w:pPr>
            <w:r>
              <w:t xml:space="preserve">Implementa a consulta a dados estruturados de apólice e sinistro no Data Warehouse</w:t>
            </w:r>
          </w:p>
        </w:tc>
        <w:tc>
          <w:p>
            <w:pPr>
              <w:pStyle w:val="Compact"/>
              <w:jc w:val="left"/>
            </w:pPr>
            <w:r>
              <w:t xml:space="preserve">A desenvolver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 Collector</w:t>
            </w:r>
          </w:p>
        </w:tc>
        <w:tc>
          <w:p>
            <w:pPr>
              <w:pStyle w:val="Compact"/>
              <w:jc w:val="left"/>
            </w:pPr>
            <w:r>
              <w:t xml:space="preserve">Coleta fotos do dano e laudos periciais dos sistemas internos e do envio via app mobile</w:t>
            </w:r>
          </w:p>
        </w:tc>
        <w:tc>
          <w:p>
            <w:pPr>
              <w:pStyle w:val="Compact"/>
              <w:jc w:val="left"/>
            </w:pPr>
            <w:r>
              <w:t xml:space="preserve">A desenvolver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Cache Adapter</w:t>
            </w:r>
          </w:p>
        </w:tc>
        <w:tc>
          <w:p>
            <w:pPr>
              <w:pStyle w:val="Compact"/>
              <w:jc w:val="left"/>
            </w:pPr>
            <w:r>
              <w:t xml:space="preserve">Cacheia consultas frequentes de apólice/sinistro</w:t>
            </w:r>
          </w:p>
        </w:tc>
        <w:tc>
          <w:p>
            <w:pPr>
              <w:pStyle w:val="Compact"/>
              <w:jc w:val="left"/>
            </w:pPr>
            <w:r>
              <w:t xml:space="preserve">A desenvolver (usa biblioteca reutilizada — cliente Redis)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Storage Writer</w:t>
            </w:r>
          </w:p>
        </w:tc>
        <w:tc>
          <w:p>
            <w:pPr>
              <w:pStyle w:val="Compact"/>
              <w:jc w:val="left"/>
            </w:pPr>
            <w:r>
              <w:t xml:space="preserve">Grava os dados brutos coletados no object storage intermediário, usando chave de objeto determinística (</w:t>
            </w:r>
            <w:r>
              <w:rPr>
                <w:rStyle w:val="VerbatimChar"/>
              </w:rPr>
              <w:t xml:space="preserve">sinistroId/documentoId</w:t>
            </w:r>
            <w:r>
              <w:t xml:space="preserve">) para que retries de chamada de tool sobrescrevam em vez de duplicar</w:t>
            </w:r>
          </w:p>
        </w:tc>
        <w:tc>
          <w:p>
            <w:pPr>
              <w:pStyle w:val="Compact"/>
              <w:jc w:val="left"/>
            </w:pPr>
            <w:r>
              <w:t xml:space="preserve">A desenvolver (usa biblioteca reutilizada — cliente Cloud Storage)</w:t>
            </w:r>
          </w:p>
        </w:tc>
      </w:tr>
    </w:tbl>
    <w:p>
      <w:pPr>
        <w:pStyle w:val="BodyText"/>
      </w:pPr>
      <w:r>
        <w:rPr>
          <w:b/>
        </w:rPr>
        <w:t xml:space="preserve">Componentes adquiridos/reutilizados (não desenvolvidos):</w:t>
      </w:r>
      <w:r>
        <w:t xml:space="preserve"> </w:t>
      </w:r>
      <w:r>
        <w:t xml:space="preserve">provedor de LLM (API paga do provedor escolhido), BigQuery, Cloud Storage, Google Drive API, SendGrid (e-mail), OneSignal (push notification), Keycloak (IAM, self-hosted, sem código próprio de autenticação) — todos consumidos/configurados como serviços prontos, sem código próprio de infraestrutura.</w:t>
      </w:r>
    </w:p>
    <w:p>
      <w:pPr>
        <w:pStyle w:val="BlockText"/>
      </w:pPr>
      <w:r>
        <w:rPr>
          <w:b/>
        </w:rPr>
        <w:t xml:space="preserve">Pontos de idempotência e deduplicação:</w:t>
      </w:r>
      <w:r>
        <w:t xml:space="preserve"> </w:t>
      </w:r>
      <w:r>
        <w:t xml:space="preserve">todo ponto de reentrega/retry da arquitetura tem um mecanismo de idempotência correspondente, evitando duplicidade de efeito colateral. O Temporal garante execução</w:t>
      </w:r>
      <w:r>
        <w:t xml:space="preserve"> </w:t>
      </w:r>
      <w:r>
        <w:rPr>
          <w:i/>
        </w:rPr>
        <w:t xml:space="preserve">exactly-once</w:t>
      </w:r>
      <w:r>
        <w:t xml:space="preserve"> </w:t>
      </w:r>
      <w:r>
        <w:t xml:space="preserve">da lógica do workflow em si, mas cada</w:t>
      </w:r>
      <w:r>
        <w:t xml:space="preserve"> </w:t>
      </w:r>
      <w:r>
        <w:rPr>
          <w:i/>
        </w:rPr>
        <w:t xml:space="preserve">activity</w:t>
      </w:r>
      <w:r>
        <w:t xml:space="preserve"> </w:t>
      </w:r>
      <w:r>
        <w:t xml:space="preserve">pode ser reexecutada em caso de falha/timeout — por isso cada uma precisa ser idempotente individualmente; leituras (Query Handler, Apólice/Sinistro Query Service) não precisam de tratamento, por não terem efeito colateral.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Início do workflow</w:t>
      </w:r>
      <w:r>
        <w:t xml:space="preserve"> </w:t>
      </w:r>
      <w:r>
        <w:t xml:space="preserve">(Command Handler → Temporal): Workflow ID determinístico por</w:t>
      </w:r>
      <w:r>
        <w:t xml:space="preserve"> </w:t>
      </w:r>
      <w:r>
        <w:rPr>
          <w:rStyle w:val="VerbatimChar"/>
        </w:rPr>
        <w:t xml:space="preserve">sinistro_id</w:t>
      </w:r>
      <w:r>
        <w:t xml:space="preserve">, dedup nativa do Temporal — não precisa de lock adicional (por isso não usamos Redis para esse fim, como discutido na seção 2.4). Suficiente sozinho no canal do regulador, onde o sinistro já existe antes da chamada.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Envio/reenvio self-service</w:t>
      </w:r>
      <w:r>
        <w:t xml:space="preserve"> </w:t>
      </w:r>
      <w:r>
        <w:t xml:space="preserve">(segurada, via mobile offline-first ou web portal): como o</w:t>
      </w:r>
      <w:r>
        <w:t xml:space="preserve"> </w:t>
      </w:r>
      <w:r>
        <w:rPr>
          <w:rStyle w:val="VerbatimChar"/>
        </w:rPr>
        <w:t xml:space="preserve">sinistro_id</w:t>
      </w:r>
      <w:r>
        <w:t xml:space="preserve"> </w:t>
      </w:r>
      <w:r>
        <w:t xml:space="preserve">ainda não existe nesse momento, o Workflow ID sozinho não basta — o Command Handler exige uma chave de idempotência gerada no cliente, tanto para decidir se inicia um novo workflow quanto para o UPSERT do registro inicial na Base de Sinistros.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Retry da</w:t>
      </w:r>
      <w:r>
        <w:rPr>
          <w:b/>
        </w:rPr>
        <w:t xml:space="preserve"> </w:t>
      </w:r>
      <w:r>
        <w:rPr>
          <w:i/>
          <w:b/>
        </w:rPr>
        <w:t xml:space="preserve">activity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init</w:t>
      </w:r>
      <w:r>
        <w:rPr>
          <w:b/>
        </w:rPr>
        <w:t xml:space="preserve">”</w:t>
      </w:r>
      <w:r>
        <w:t xml:space="preserve"> </w:t>
      </w:r>
      <w:r>
        <w:t xml:space="preserve">(</w:t>
      </w:r>
      <w:r>
        <w:rPr>
          <w:b/>
        </w:rPr>
        <w:t xml:space="preserve">Init Worker</w:t>
      </w:r>
      <w:r>
        <w:t xml:space="preserve">, step 1, container próprio): UPSERT idempotente por</w:t>
      </w:r>
      <w:r>
        <w:t xml:space="preserve"> </w:t>
      </w:r>
      <w:r>
        <w:rPr>
          <w:rStyle w:val="VerbatimChar"/>
        </w:rPr>
        <w:t xml:space="preserve">sinistro_id</w:t>
      </w:r>
      <w:r>
        <w:t xml:space="preserve"> </w:t>
      </w:r>
      <w:r>
        <w:t xml:space="preserve">no PostgreSQL operacional.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Retry das</w:t>
      </w:r>
      <w:r>
        <w:rPr>
          <w:b/>
        </w:rPr>
        <w:t xml:space="preserve"> </w:t>
      </w:r>
      <w:r>
        <w:rPr>
          <w:i/>
          <w:b/>
        </w:rPr>
        <w:t xml:space="preserve">activities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Report Builder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e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Document Generator</w:t>
      </w:r>
      <w:r>
        <w:rPr>
          <w:b/>
        </w:rPr>
        <w:t xml:space="preserve">”</w:t>
      </w:r>
      <w:r>
        <w:t xml:space="preserve"> </w:t>
      </w:r>
      <w:r>
        <w:t xml:space="preserve">(steps 3 e 4): o Report Builder grava o metadado consolidado com chave determinística no storage (mesmo padrão do Storage Writer). O Document Generator é o ponto mais delicado — a criação de arquivo no Google Drive</w:t>
      </w:r>
      <w:r>
        <w:t xml:space="preserve"> </w:t>
      </w:r>
      <w:r>
        <w:rPr>
          <w:b/>
        </w:rPr>
        <w:t xml:space="preserve">não é idempotente por natureza</w:t>
      </w:r>
      <w:r>
        <w:t xml:space="preserve"> </w:t>
      </w:r>
      <w:r>
        <w:t xml:space="preserve">(duas chamadas criam dois arquivos); a</w:t>
      </w:r>
      <w:r>
        <w:t xml:space="preserve"> </w:t>
      </w:r>
      <w:r>
        <w:rPr>
          <w:i/>
        </w:rPr>
        <w:t xml:space="preserve">activity</w:t>
      </w:r>
      <w:r>
        <w:t xml:space="preserve"> </w:t>
      </w:r>
      <w:r>
        <w:t xml:space="preserve">precisa checar, antes de gerar, se já existe um documento para aquele</w:t>
      </w:r>
      <w:r>
        <w:t xml:space="preserve"> </w:t>
      </w:r>
      <w:r>
        <w:rPr>
          <w:rStyle w:val="VerbatimChar"/>
        </w:rPr>
        <w:t xml:space="preserve">sinistro_id</w:t>
      </w:r>
      <w:r>
        <w:t xml:space="preserve"> </w:t>
      </w:r>
      <w:r>
        <w:t xml:space="preserve">(guardando o ID do arquivo no estado do workflow ou buscando por nome determinístico), evitando parecer duplicado.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Reentrega do Pub/Sub</w:t>
      </w:r>
      <w:r>
        <w:t xml:space="preserve"> </w:t>
      </w:r>
      <w:r>
        <w:t xml:space="preserve">(</w:t>
      </w:r>
      <w:r>
        <w:rPr>
          <w:i/>
        </w:rPr>
        <w:t xml:space="preserve">at-least-once</w:t>
      </w:r>
      <w:r>
        <w:t xml:space="preserve">, duas</w:t>
      </w:r>
      <w:r>
        <w:t xml:space="preserve"> </w:t>
      </w:r>
      <w:r>
        <w:rPr>
          <w:i/>
        </w:rPr>
        <w:t xml:space="preserve">subscriptions</w:t>
      </w:r>
      <w:r>
        <w:t xml:space="preserve"> </w:t>
      </w:r>
      <w:r>
        <w:t xml:space="preserve">independentes): o Notification Consumer (API de Sinistros) aplica UPSERT idempotente por</w:t>
      </w:r>
      <w:r>
        <w:t xml:space="preserve"> </w:t>
      </w:r>
      <w:r>
        <w:rPr>
          <w:rStyle w:val="VerbatimChar"/>
        </w:rPr>
        <w:t xml:space="preserve">sinistro_id</w:t>
      </w:r>
      <w:r>
        <w:t xml:space="preserve"> </w:t>
      </w:r>
      <w:r>
        <w:t xml:space="preserve">na Base de Sinistros; a</w:t>
      </w:r>
      <w:r>
        <w:t xml:space="preserve"> </w:t>
      </w:r>
      <w:r>
        <w:rPr>
          <w:b/>
        </w:rPr>
        <w:t xml:space="preserve">API de Notificação</w:t>
      </w:r>
      <w:r>
        <w:t xml:space="preserve"> </w:t>
      </w:r>
      <w:r>
        <w:t xml:space="preserve">também precisa ser idempotente do seu lado (ex.: chave de deduplicação por</w:t>
      </w:r>
      <w:r>
        <w:t xml:space="preserve"> </w:t>
      </w:r>
      <w:r>
        <w:rPr>
          <w:rStyle w:val="VerbatimChar"/>
        </w:rPr>
        <w:t xml:space="preserve">sinistro_id</w:t>
      </w:r>
      <w:r>
        <w:t xml:space="preserve"> </w:t>
      </w:r>
      <w:r>
        <w:t xml:space="preserve">antes de reenviar e-mail/push), já que ambos os consumidores podem receber a mesma mensagem mais de uma vez, independentemente um do outro. Cobre também um eventual reenvio duplicado do lado do Notifier (publish retry).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Retry de chamada de tool</w:t>
      </w:r>
      <w:r>
        <w:t xml:space="preserve"> </w:t>
      </w:r>
      <w:r>
        <w:t xml:space="preserve">(Storage Writer, coleta de documentos): chave de objeto determinística no object storage, tornando a gravação idempotente por natureza (sobrescreve em vez de duplicar).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avaliação-da-arquitetura-atam"/>
      <w:r>
        <w:t xml:space="preserve">4. Avaliação da Arquitetura (ATAM)</w:t>
      </w:r>
      <w:bookmarkEnd w:id="37"/>
    </w:p>
    <w:p>
      <w:pPr>
        <w:pStyle w:val="FirstParagraph"/>
      </w:pPr>
      <w:r>
        <w:t xml:space="preserve">A avaliação segue o método</w:t>
      </w:r>
      <w:r>
        <w:t xml:space="preserve"> </w:t>
      </w:r>
      <w:r>
        <w:rPr>
          <w:b/>
        </w:rPr>
        <w:t xml:space="preserve">ATAM</w:t>
      </w:r>
      <w:r>
        <w:t xml:space="preserve"> </w:t>
      </w:r>
      <w:r>
        <w:t xml:space="preserve">(</w:t>
      </w:r>
      <w:r>
        <w:rPr>
          <w:i/>
        </w:rPr>
        <w:t xml:space="preserve">Architecture Tradeoff Analysis Method</w:t>
      </w:r>
      <w:r>
        <w:t xml:space="preserve">), conforme descrito por Bass, Clements e Kazman (2021).</w:t>
      </w:r>
    </w:p>
    <w:p>
      <w:pPr>
        <w:pStyle w:val="Heading3"/>
      </w:pPr>
      <w:bookmarkStart w:id="38" w:name="análise-das-abordagens-arquiteturais"/>
      <w:r>
        <w:t xml:space="preserve">4.1 Análise das Abordagens Arquiteturais</w:t>
      </w:r>
      <w:bookmarkEnd w:id="38"/>
    </w:p>
    <w:p>
      <w:pPr>
        <w:pStyle w:val="FirstParagraph"/>
      </w:pPr>
      <w:r>
        <w:rPr>
          <w:i/>
        </w:rPr>
        <w:t xml:space="preserve">(CA-2.1 — deve contemplar todos os RNF)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Atributo de Qualidade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Cenário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Importância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Complexidade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TODO</w:t>
            </w:r>
          </w:p>
        </w:tc>
        <w:tc>
          <w:p/>
        </w:tc>
        <w:tc>
          <w:p/>
        </w:tc>
      </w:tr>
    </w:tbl>
    <w:p>
      <w:pPr>
        <w:pStyle w:val="Heading3"/>
      </w:pPr>
      <w:bookmarkStart w:id="39" w:name="cenários"/>
      <w:r>
        <w:t xml:space="preserve">4.2 Cenários</w:t>
      </w:r>
      <w:bookmarkEnd w:id="39"/>
    </w:p>
    <w:p>
      <w:pPr>
        <w:pStyle w:val="FirstParagraph"/>
      </w:pPr>
      <w:r>
        <w:rPr>
          <w:i/>
        </w:rPr>
        <w:t xml:space="preserve">(CA-2.2 — um cenário para cada RNF da seção 2.3)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Cenário 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TODO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Cenário 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TODO</w:t>
      </w:r>
    </w:p>
    <w:p>
      <w:pPr>
        <w:pStyle w:val="FirstParagraph"/>
      </w:pPr>
      <w:r>
        <w:rPr>
          <w:rStyle w:val="VerbatimChar"/>
        </w:rPr>
        <w:t xml:space="preserve">Semente para quando escrever — cenário de disponibilidade (RNF03): explicitar no escopo do cenário que os 99,9% cobrem a infraestrutura própria da plataforma (GKE + Cloud SQL + Memorystore + Pub/Sub, cujos SLAs individuais já sustentam essa meta — ver nota da seção 2.3), não a SLA de provedores terceiros fora do controle da arquitetura (provedor de LLM, Google Drive API, SendGrid, OneSignal). A disponibilidade fim-a-fim de uma solicitação depende também desses terceiros — declarar essa fronteira explicitamente no cenário evita prometer cobertura sobre algo que a plataforma não controla, e antecipa a pergunta óbvia de banca ("como vocês garantem isso, dado que dependem de APIs externas?").</w:t>
      </w:r>
    </w:p>
    <w:p>
      <w:pPr>
        <w:pStyle w:val="Heading3"/>
      </w:pPr>
      <w:bookmarkStart w:id="40" w:name="evidências-da-avaliação"/>
      <w:r>
        <w:t xml:space="preserve">4.3 Evidências da Avaliação</w:t>
      </w:r>
      <w:bookmarkEnd w:id="40"/>
    </w:p>
    <w:p>
      <w:pPr>
        <w:pStyle w:val="FirstParagraph"/>
      </w:pPr>
      <w:r>
        <w:rPr>
          <w:i/>
        </w:rPr>
        <w:t xml:space="preserve">(CA-2.3 — pelo menos 2 evidências por avaliação: 1 textual + 1 figura)</w:t>
      </w:r>
    </w:p>
    <w:p>
      <w:pPr>
        <w:pStyle w:val="BodyText"/>
      </w:pPr>
      <w:r>
        <w:rPr>
          <w:rStyle w:val="VerbatimChar"/>
        </w:rPr>
        <w:t xml:space="preserve">TODO: para cada cenário, preencher Atributo/Requisito/Preocupação/Ambiente/Estímulo/Mecanismo/Medida de resposta/Riscos.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avaliação-crítica-dos-resultados"/>
      <w:r>
        <w:t xml:space="preserve">5. Avaliação Crítica dos Resultados</w:t>
      </w:r>
      <w:bookmarkEnd w:id="41"/>
    </w:p>
    <w:p>
      <w:pPr>
        <w:pStyle w:val="FirstParagraph"/>
      </w:pPr>
      <w:r>
        <w:rPr>
          <w:i/>
        </w:rPr>
        <w:t xml:space="preserve">(CA-2.4 — prós e contras da arquitetura)</w:t>
      </w:r>
    </w:p>
    <w:p>
      <w:pPr>
        <w:pStyle w:val="BodyText"/>
      </w:pPr>
      <w:r>
        <w:rPr>
          <w:rStyle w:val="VerbatimChar"/>
        </w:rPr>
        <w:t xml:space="preserve">TODO</w:t>
      </w:r>
    </w:p>
    <w:p>
      <w:pPr>
        <w:pStyle w:val="BodyText"/>
      </w:pPr>
      <w:r>
        <w:rPr>
          <w:rStyle w:val="VerbatimChar"/>
        </w:rPr>
        <w:t xml:space="preserve">Semente para quando escrever — observação de escopo: a decisão de deploy (Kubernetes/GKE em produção, GitHub Actions para CI/CD) foi definida só em nível de mecanismo arquitetural (seção 2.4), sem aprofundar pipeline (steps de build/deploy), estratégia de versionamento de imagem/API ou GitOps — por estar fora do escopo deste trabalho, que é modelagem arquitetural, não implementação/construção (regulamento, seção 2).</w:t>
      </w:r>
    </w:p>
    <w:p>
      <w:pPr>
        <w:pStyle w:val="BodyText"/>
      </w:pPr>
      <w:r>
        <w:rPr>
          <w:rStyle w:val="VerbatimChar"/>
        </w:rPr>
        <w:t xml:space="preserve">Semente para quando escrever — trade-off "sem BFF" (seção 2.4): decisão considerada razoável para o escopo atual (canais com necessidades de dados semelhantes, operações simples de disparo/consulta de status), mas vale registrar como contraponto explícito: o Mobile App é o canal com requisito genuinamente diferente dos demais (RNF06 — offline-first, banda limitada), então se no futuro ele precisar de payloads mais enxutos/agregados, a API de Sinistros compartilhada tende a acumular lógica condicional por cliente — sintoma clássico que levaria a introduzir um BFF só para o mobile, não para todos os canais. Se essa evolução for adotada, o cuidado de design é não duplicar responsabilidade já resolvida em outra camada: o BFF deve se restringir a moldar payload, nunca reimplementar autenticação/rate limiting (já no API Gateway) nem recalcular status/dados que já são responsabilidade da API de Sinistros (Query Handler, CQRS) — senão cria-se uma segunda fonte de verdade.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conclusão"/>
      <w:r>
        <w:t xml:space="preserve">6. Conclusão</w:t>
      </w:r>
      <w:bookmarkEnd w:id="42"/>
    </w:p>
    <w:p>
      <w:pPr>
        <w:pStyle w:val="FirstParagraph"/>
      </w:pPr>
      <w:r>
        <w:rPr>
          <w:i/>
        </w:rPr>
        <w:t xml:space="preserve">(CA-2.5 — lições aprendidas, trade-offs, possibilidades de melhoria)</w:t>
      </w:r>
    </w:p>
    <w:p>
      <w:pPr>
        <w:pStyle w:val="BodyText"/>
      </w:pPr>
      <w:r>
        <w:rPr>
          <w:rStyle w:val="VerbatimChar"/>
        </w:rPr>
        <w:t xml:space="preserve">TODO</w:t>
      </w:r>
    </w:p>
    <w:p>
      <w:pPr>
        <w:pStyle w:val="BodyText"/>
      </w:pPr>
      <w:r>
        <w:rPr>
          <w:rStyle w:val="VerbatimChar"/>
        </w:rPr>
        <w:t xml:space="preserve">Semente para quando escrever — possibilidade de melhoria já identificada: o cluster GKE usado neste TCC é single-region; uma evolução natural para maior resiliência seria um cluster multi-region (ou multi-cluster) com failover automático, cobrindo cenários de indisponibilidade de uma região inteira do GCP — hoje fora do escopo do RNF03 (99,9%).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referências"/>
      <w:r>
        <w:t xml:space="preserve">Referências</w:t>
      </w:r>
      <w:bookmarkEnd w:id="43"/>
    </w:p>
    <w:p>
      <w:pPr>
        <w:pStyle w:val="FirstParagraph"/>
      </w:pPr>
      <w:r>
        <w:rPr>
          <w:i/>
        </w:rPr>
        <w:t xml:space="preserve">(CA-2.6, peso 5 — o template descreve como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recomendado</w:t>
      </w:r>
      <w:r>
        <w:rPr>
          <w:i/>
        </w:rPr>
        <w:t xml:space="preserve">”</w:t>
      </w:r>
      <w:r>
        <w:rPr>
          <w:i/>
        </w:rPr>
        <w:t xml:space="preserve">, mas a rubrica exige explicitamente pelo menos 5 boas referências, avaliadas por qualidade/atualização/adequação; tratar como item obrigatório, não opcional. Normas ABNT.)</w:t>
      </w:r>
    </w:p>
    <w:p>
      <w:pPr>
        <w:numPr>
          <w:ilvl w:val="0"/>
          <w:numId w:val="1006"/>
        </w:numPr>
        <w:pStyle w:val="Compact"/>
      </w:pPr>
      <w:r>
        <w:t xml:space="preserve">SUSEP. Circular SUSEP nº 621, de 12 de fevereiro de 2021. Dispõe sobre as regras de funcionamento e os critérios para operação das coberturas dos seguros de danos. Brasília: Diário Oficial da União, 17 fev. 2021. Disponível em: https://www.in.gov.br/en/web/dou/-/circular-susep-n-621-de-12-de-fevereiro-de-2021-303756056. Acesso em: 06 ago. 2026.</w:t>
      </w:r>
    </w:p>
    <w:p>
      <w:pPr>
        <w:numPr>
          <w:ilvl w:val="0"/>
          <w:numId w:val="1006"/>
        </w:numPr>
        <w:pStyle w:val="Compact"/>
      </w:pPr>
      <w:r>
        <w:t xml:space="preserve">CONJUR. A duração razoável da regulação do sinistro pela seguradora.</w:t>
      </w:r>
      <w:r>
        <w:t xml:space="preserve"> </w:t>
      </w:r>
      <w:r>
        <w:rPr>
          <w:b/>
        </w:rPr>
        <w:t xml:space="preserve">Consultor Jurídico</w:t>
      </w:r>
      <w:r>
        <w:t xml:space="preserve">, 28 mar. 2024. Disponível em: https://www.conjur.com.br/2024-mar-28/a-duracao-razoavel-da-regulacao-do-sinistro-pela-seguradora/. Acesso em: 06 ago. 2026.</w:t>
      </w:r>
    </w:p>
    <w:p>
      <w:pPr>
        <w:numPr>
          <w:ilvl w:val="0"/>
          <w:numId w:val="1006"/>
        </w:numPr>
        <w:pStyle w:val="Compact"/>
      </w:pPr>
      <w:r>
        <w:t xml:space="preserve">MOBILE TIME. IA é usada por 80% das seguradoras no Brasil, diz CNSeg.</w:t>
      </w:r>
      <w:r>
        <w:t xml:space="preserve"> </w:t>
      </w:r>
      <w:r>
        <w:rPr>
          <w:b/>
        </w:rPr>
        <w:t xml:space="preserve">Mobile Time</w:t>
      </w:r>
      <w:r>
        <w:t xml:space="preserve">, 24 fev. 2026. Disponível em: https://www.mobiletime.com.br/noticias/24/02/2026/ia-seguradoras-80-brasil/. Acesso em: 06 ago. 2026.</w:t>
      </w:r>
    </w:p>
    <w:p>
      <w:pPr>
        <w:numPr>
          <w:ilvl w:val="0"/>
          <w:numId w:val="1006"/>
        </w:numPr>
        <w:pStyle w:val="Compact"/>
      </w:pPr>
      <w:r>
        <w:t xml:space="preserve">ANTHROPIC. Introducing the Model Context Protocol. 25 nov. 2024. Disponível em: https://www.anthropic.com/news/model-context-protocol. Acesso em: 06 ago. 2026.</w:t>
      </w:r>
    </w:p>
    <w:p>
      <w:pPr>
        <w:numPr>
          <w:ilvl w:val="0"/>
          <w:numId w:val="1006"/>
        </w:numPr>
        <w:pStyle w:val="Compact"/>
      </w:pPr>
      <w:r>
        <w:t xml:space="preserve">BROWN, Simon. The C4 model for visualising software architecture. [s.d.]. Disponível em: https://c4model.com/. Acesso em: 06 ago. 2026.</w:t>
      </w:r>
    </w:p>
    <w:p>
      <w:pPr>
        <w:numPr>
          <w:ilvl w:val="0"/>
          <w:numId w:val="1006"/>
        </w:numPr>
        <w:pStyle w:val="Compact"/>
      </w:pPr>
      <w:r>
        <w:t xml:space="preserve">BASS, Len; CLEMENTS, Paul; KAZMAN, Rick. Software Architecture in Practice. 4. ed. Boston: Addison-Wesley Professional, 2021. 464 p. ISBN 978-0-13-688588-7 (e-book).</w:t>
      </w:r>
    </w:p>
    <w:p>
      <w:pPr>
        <w:numPr>
          <w:ilvl w:val="0"/>
          <w:numId w:val="1006"/>
        </w:numPr>
        <w:pStyle w:val="Compact"/>
      </w:pPr>
      <w:r>
        <w:t xml:space="preserve">HARDT, Dick (ed.). The OAuth 2.0 Authorization Framework (RFC 6749). Internet Engineering Task Force (IETF), out. 2012. Disponível em: https://www.rfc-editor.org/info/rfc6749. Acesso em: 06 ago. 2026.</w:t>
      </w:r>
    </w:p>
    <w:p>
      <w:pPr>
        <w:numPr>
          <w:ilvl w:val="0"/>
          <w:numId w:val="1006"/>
        </w:numPr>
        <w:pStyle w:val="Compact"/>
      </w:pPr>
      <w:r>
        <w:t xml:space="preserve">TEMPORAL TECHNOLOGIES. Temporal documentation: durable execution. [s.d.]. Disponível em: https://docs.temporal.io/. Acesso em: 06 ago. 2026.</w:t>
      </w:r>
    </w:p>
    <w:sectPr w:rsidR="00AD1154" w:rsidRPr="00F45E97">
      <w:headerReference w:type="even" r:id="rId9"/>
      <w:headerReference w:type="default" r:id="rId10"/>
      <w:footerReference w:type="even" r:id="rId12"/>
      <w:footerReference w:type="default" r:id="rId11"/>
      <w:pgSz w:w="11909" w:h="16834"/>
      <w:pgMar w:top="1418" w:right="1797" w:bottom="1418" w:left="1797" w:header="709" w:footer="709" w:gutter="0"/>
      <w:pgNumType w:start="1"/>
      <w:cols w:space="72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115E3C2" w14:textId="77777777" w:rsidR="00490BE2" w:rsidRDefault="00490BE2">
    <w:pPr>
      <w:keepLines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b/>
        <w:color w:val="000000"/>
      </w:rPr>
    </w:pPr>
    <w:r>
      <w:rPr>
        <w:b/>
        <w:color w:val="000000"/>
      </w:rPr>
      <w:fldChar w:fldCharType="begin"/>
    </w:r>
    <w:r>
      <w:rPr>
        <w:b/>
        <w:color w:val="000000"/>
      </w:rPr>
      <w:instrText>PAGE</w:instrText>
    </w:r>
    <w:r>
      <w:rPr>
        <w:b/>
        <w:color w:val="000000"/>
      </w:rPr>
      <w:fldChar w:fldCharType="separate"/>
    </w:r>
    <w:r w:rsidR="00721C1E">
      <w:rPr>
        <w:b/>
        <w:noProof/>
        <w:color w:val="000000"/>
      </w:rPr>
      <w:t>2</w:t>
    </w:r>
    <w:r>
      <w:rPr>
        <w:b/>
        <w:color w:val="000000"/>
      </w:rPr>
      <w:fldChar w:fldCharType="end"/>
    </w:r>
  </w:p>
  <w:p w14:paraId="1FCF7B38" w14:textId="77777777" w:rsidR="00490BE2" w:rsidRDefault="00490BE2">
    <w:pPr>
      <w:keepLines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294799" w14:textId="77777777" w:rsidR="00490BE2" w:rsidRDefault="00490BE2">
    <w:pPr>
      <w:keepLines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b/>
        <w:color w:val="000000"/>
      </w:rPr>
    </w:pPr>
    <w:r>
      <w:rPr>
        <w:b/>
        <w:color w:val="000000"/>
      </w:rPr>
      <w:fldChar w:fldCharType="begin"/>
    </w:r>
    <w:r>
      <w:rPr>
        <w:b/>
        <w:color w:val="000000"/>
      </w:rPr>
      <w:instrText>PAGE</w:instrText>
    </w:r>
    <w:r>
      <w:rPr>
        <w:b/>
        <w:color w:val="000000"/>
      </w:rPr>
      <w:fldChar w:fldCharType="separate"/>
    </w:r>
    <w:r w:rsidR="00721C1E">
      <w:rPr>
        <w:b/>
        <w:noProof/>
        <w:color w:val="000000"/>
      </w:rPr>
      <w:t>13</w:t>
    </w:r>
    <w:r>
      <w:rPr>
        <w:b/>
        <w:color w:val="000000"/>
      </w:rPr>
      <w:fldChar w:fldCharType="end"/>
    </w:r>
  </w:p>
  <w:p w14:paraId="3EAC64DD" w14:textId="77777777" w:rsidR="00490BE2" w:rsidRDefault="00490BE2"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D3999DB" w14:textId="77777777" w:rsidR="00490BE2" w:rsidRDefault="00490BE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24"/>
        <w:szCs w:val="24"/>
      </w:rPr>
    </w:pPr>
    <w:r>
      <w:rPr>
        <w:color w:val="000000"/>
        <w:sz w:val="24"/>
        <w:szCs w:val="24"/>
      </w:rPr>
      <w:t>RelatoSeg — Geração Automatizada de Relatórios de Análise de Sinistros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74255BE" w14:textId="191D182E" w:rsidR="00490BE2" w:rsidRDefault="00490BE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  <w:sz w:val="24"/>
        <w:szCs w:val="24"/>
      </w:rPr>
      <w:t xml:space="preserve">Projeto Integrado – Engenharia de </w:t>
    </w:r>
    <w:r>
      <w:rPr>
        <w:i/>
        <w:color w:val="000000"/>
        <w:sz w:val="24"/>
        <w:szCs w:val="24"/>
      </w:rPr>
      <w:t>Software</w:t>
    </w:r>
    <w:r>
      <w:rPr>
        <w:color w:val="000000"/>
        <w:sz w:val="24"/>
        <w:szCs w:val="24"/>
      </w:rPr>
      <w:t xml:space="preserve"> - PMV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326A0"/>
    <w:multiLevelType w:val="hybridMultilevel"/>
    <w:tmpl w:val="E6D4DF36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>
    <w:nsid w:val="06010682"/>
    <w:multiLevelType w:val="multilevel"/>
    <w:tmpl w:val="A0847D24"/>
    <w:lvl w:ilvl="0">
      <w:start w:val="13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>
    <w:nsid w:val="12A7318D"/>
    <w:multiLevelType w:val="multilevel"/>
    <w:tmpl w:val="0ECAA6D6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decimal"/>
      <w:pStyle w:val="Heading2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3">
    <w:nsid w:val="194775F5"/>
    <w:multiLevelType w:val="multilevel"/>
    <w:tmpl w:val="1EF03E40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>
    <w:nsid w:val="19B7306A"/>
    <w:multiLevelType w:val="hybridMultilevel"/>
    <w:tmpl w:val="C9F4316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BB775D5"/>
    <w:multiLevelType w:val="multilevel"/>
    <w:tmpl w:val="9DFEAEB0"/>
    <w:lvl w:ilvl="0">
      <w:start w:val="3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>
    <w:nsid w:val="1C633699"/>
    <w:multiLevelType w:val="multilevel"/>
    <w:tmpl w:val="3844DF3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F360DA9"/>
    <w:multiLevelType w:val="hybridMultilevel"/>
    <w:tmpl w:val="8780E4A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FC87D4A"/>
    <w:multiLevelType w:val="hybridMultilevel"/>
    <w:tmpl w:val="ADFAE454"/>
    <w:lvl w:ilvl="0" w:tplc="FFFFFFFF">
      <w:start w:val="1"/>
      <w:numFmt w:val="bullet"/>
      <w:pStyle w:val="Topics"/>
      <w:lvlText w:val=""/>
      <w:lvlJc w:val="left"/>
      <w:pPr>
        <w:tabs>
          <w:tab w:val="num" w:pos="360"/>
        </w:tabs>
        <w:ind w:left="643" w:hanging="283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tabs>
          <w:tab w:val="num" w:pos="1080"/>
        </w:tabs>
        <w:ind w:left="1363" w:hanging="283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201293B"/>
    <w:multiLevelType w:val="hybridMultilevel"/>
    <w:tmpl w:val="06CC32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6750CE3"/>
    <w:multiLevelType w:val="multilevel"/>
    <w:tmpl w:val="1EF03E40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>
    <w:nsid w:val="29A31F3D"/>
    <w:multiLevelType w:val="hybridMultilevel"/>
    <w:tmpl w:val="1D1629C6"/>
    <w:lvl w:ilvl="0" w:tplc="4E58F43A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C056BF2"/>
    <w:multiLevelType w:val="hybridMultilevel"/>
    <w:tmpl w:val="E3F827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22C0BF9"/>
    <w:multiLevelType w:val="multilevel"/>
    <w:tmpl w:val="1EF03E40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>
    <w:nsid w:val="36AA4A0F"/>
    <w:multiLevelType w:val="multilevel"/>
    <w:tmpl w:val="D6446920"/>
    <w:lvl w:ilvl="0">
      <w:start w:val="15"/>
      <w:numFmt w:val="decimal"/>
      <w:lvlText w:val="%1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4" w:hanging="50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>
    <w:nsid w:val="3A5D4304"/>
    <w:multiLevelType w:val="multilevel"/>
    <w:tmpl w:val="DBC6C7DC"/>
    <w:styleLink w:val="Style1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none"/>
      <w:lvlText w:val="6.1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>
    <w:nsid w:val="45D54936"/>
    <w:multiLevelType w:val="multilevel"/>
    <w:tmpl w:val="3844DF3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E654507"/>
    <w:multiLevelType w:val="hybridMultilevel"/>
    <w:tmpl w:val="D15C6E48"/>
    <w:lvl w:ilvl="0" w:tplc="FFFFFFFF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>
    <w:nsid w:val="51310491"/>
    <w:multiLevelType w:val="hybridMultilevel"/>
    <w:tmpl w:val="3280ABBE"/>
    <w:lvl w:ilvl="0" w:tplc="1CCC1168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37B5DBC"/>
    <w:multiLevelType w:val="multilevel"/>
    <w:tmpl w:val="1EF03E40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>
    <w:nsid w:val="5B732651"/>
    <w:multiLevelType w:val="multilevel"/>
    <w:tmpl w:val="AD2AA142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21">
    <w:nsid w:val="618D24DD"/>
    <w:multiLevelType w:val="multilevel"/>
    <w:tmpl w:val="C5AC14E4"/>
    <w:lvl w:ilvl="0">
      <w:start w:val="4"/>
      <w:numFmt w:val="decimal"/>
      <w:lvlText w:val="%1"/>
      <w:lvlJc w:val="left"/>
      <w:pPr>
        <w:ind w:left="405" w:hanging="405"/>
      </w:pPr>
      <w:rPr>
        <w:rFonts w:ascii="Arial" w:hAnsi="Arial"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ascii="Arial" w:hAnsi="Aria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Arial" w:hAnsi="Arial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Arial" w:hAnsi="Arial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Arial" w:hAnsi="Arial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Arial" w:hAnsi="Arial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Arial" w:hAnsi="Arial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="Arial" w:hAnsi="Arial"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Arial" w:hAnsi="Arial" w:hint="default"/>
      </w:rPr>
    </w:lvl>
  </w:abstractNum>
  <w:abstractNum w:abstractNumId="22">
    <w:nsid w:val="6495773B"/>
    <w:multiLevelType w:val="multilevel"/>
    <w:tmpl w:val="D9703416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3">
    <w:nsid w:val="6FFE44E3"/>
    <w:multiLevelType w:val="multilevel"/>
    <w:tmpl w:val="F206901C"/>
    <w:lvl w:ilvl="0">
      <w:start w:val="6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4">
    <w:nsid w:val="730B404E"/>
    <w:multiLevelType w:val="multilevel"/>
    <w:tmpl w:val="6C1833C8"/>
    <w:lvl w:ilvl="0">
      <w:start w:val="4"/>
      <w:numFmt w:val="decimal"/>
      <w:lvlText w:val="%1"/>
      <w:lvlJc w:val="left"/>
      <w:pPr>
        <w:ind w:left="405" w:hanging="405"/>
      </w:pPr>
      <w:rPr>
        <w:rFonts w:ascii="Arial" w:hAnsi="Arial"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ascii="Arial" w:hAnsi="Aria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Arial" w:hAnsi="Arial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Arial" w:hAnsi="Arial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Arial" w:hAnsi="Arial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Arial" w:hAnsi="Arial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Arial" w:hAnsi="Arial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="Arial" w:hAnsi="Arial"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Arial" w:hAnsi="Arial" w:hint="default"/>
      </w:rPr>
    </w:lvl>
  </w:abstractNum>
  <w:abstractNum w:abstractNumId="25">
    <w:nsid w:val="7ED15954"/>
    <w:multiLevelType w:val="hybridMultilevel"/>
    <w:tmpl w:val="E53E2ED8"/>
    <w:lvl w:ilvl="0" w:tplc="4E58F43A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>
    <w:abstractNumId w:val="2"/>
  </w:num>
  <w:num w:numId="2">
    <w:abstractNumId w:val="20"/>
  </w:num>
  <w:num w:numId="3">
    <w:abstractNumId w:val="15"/>
  </w:num>
  <w:num w:numId="4">
    <w:abstractNumId w:val="6"/>
  </w:num>
  <w:num w:numId="5">
    <w:abstractNumId w:val="16"/>
  </w:num>
  <w:num w:numId="6">
    <w:abstractNumId w:val="0"/>
  </w:num>
  <w:num w:numId="7">
    <w:abstractNumId w:val="5"/>
  </w:num>
  <w:num w:numId="8">
    <w:abstractNumId w:val="23"/>
  </w:num>
  <w:num w:numId="9">
    <w:abstractNumId w:val="8"/>
  </w:num>
  <w:num w:numId="10">
    <w:abstractNumId w:val="1"/>
  </w:num>
  <w:num w:numId="11">
    <w:abstractNumId w:val="14"/>
  </w:num>
  <w:num w:numId="12">
    <w:abstractNumId w:val="2"/>
  </w:num>
  <w:num w:numId="13">
    <w:abstractNumId w:val="2"/>
  </w:num>
  <w:num w:numId="14">
    <w:abstractNumId w:val="25"/>
  </w:num>
  <w:num w:numId="15">
    <w:abstractNumId w:val="9"/>
  </w:num>
  <w:num w:numId="16">
    <w:abstractNumId w:val="17"/>
  </w:num>
  <w:num w:numId="17">
    <w:abstractNumId w:val="18"/>
  </w:num>
  <w:num w:numId="18">
    <w:abstractNumId w:val="11"/>
  </w:num>
  <w:num w:numId="19">
    <w:abstractNumId w:val="2"/>
  </w:num>
  <w:num w:numId="20">
    <w:abstractNumId w:val="22"/>
  </w:num>
  <w:num w:numId="21">
    <w:abstractNumId w:val="12"/>
  </w:num>
  <w:num w:numId="22">
    <w:abstractNumId w:val="4"/>
  </w:num>
  <w:num w:numId="23">
    <w:abstractNumId w:val="7"/>
  </w:num>
  <w:num w:numId="24">
    <w:abstractNumId w:val="13"/>
  </w:num>
  <w:num w:numId="25">
    <w:abstractNumId w:val="2"/>
  </w:num>
  <w:num w:numId="26">
    <w:abstractNumId w:val="3"/>
  </w:num>
  <w:num w:numId="27">
    <w:abstractNumId w:val="2"/>
  </w:num>
  <w:num w:numId="28">
    <w:abstractNumId w:val="19"/>
  </w:num>
  <w:num w:numId="29">
    <w:abstractNumId w:val="24"/>
  </w:num>
  <w:num w:numId="30">
    <w:abstractNumId w:val="21"/>
  </w:num>
  <w:num w:numId="31">
    <w:abstractNumId w:val="1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hyphenationZone w:val="425"/>
  <w:evenAndOddHeader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63A7"/>
    <w:rPr>
      <w:lang w:eastAsia="pt-BR"/>
    </w:rPr>
  </w:style>
  <w:style w:type="paragraph" w:styleId="Heading1">
    <w:name w:val="heading 1"/>
    <w:basedOn w:val="Normal"/>
    <w:next w:val="BodyText"/>
    <w:qFormat/>
    <w:pPr>
      <w:keepNext/>
      <w:keepLines/>
      <w:pageBreakBefore/>
      <w:spacing w:before="320" w:after="320"/>
      <w:jc w:val="center"/>
      <w:outlineLvl w:val="0"/>
    </w:pPr>
    <w:rPr>
      <w:rFonts w:ascii="Arial" w:hAnsi="Arial"/>
      <w:b/>
      <w:kern w:val="28"/>
      <w:sz w:val="36"/>
    </w:rPr>
  </w:style>
  <w:style w:type="paragraph" w:styleId="Heading2">
    <w:name w:val="heading 2"/>
    <w:basedOn w:val="Normal"/>
    <w:next w:val="BodyText"/>
    <w:qFormat/>
    <w:pPr>
      <w:keepNext/>
      <w:spacing w:before="240" w:after="240"/>
      <w:outlineLvl w:val="1"/>
    </w:pPr>
    <w:rPr>
      <w:rFonts w:ascii="Arial" w:hAnsi="Arial"/>
      <w:b/>
      <w:i/>
      <w:kern w:val="28"/>
      <w:sz w:val="28"/>
    </w:rPr>
  </w:style>
  <w:style w:type="paragraph" w:styleId="Heading3">
    <w:name w:val="heading 3"/>
    <w:basedOn w:val="Normal"/>
    <w:next w:val="BodyText"/>
    <w:qFormat/>
    <w:pPr>
      <w:keepNext/>
      <w:spacing w:before="160" w:after="160"/>
      <w:outlineLvl w:val="2"/>
    </w:pPr>
    <w:rPr>
      <w:b/>
      <w:kern w:val="28"/>
      <w:sz w:val="24"/>
    </w:rPr>
  </w:style>
  <w:style w:type="paragraph" w:styleId="Heading4">
    <w:name w:val="heading 4"/>
    <w:basedOn w:val="Normal"/>
    <w:next w:val="BodyText"/>
    <w:qFormat/>
    <w:pPr>
      <w:keepNext/>
      <w:spacing w:before="120" w:after="120"/>
      <w:outlineLvl w:val="3"/>
    </w:pPr>
    <w:rPr>
      <w:b/>
      <w:i/>
      <w:kern w:val="28"/>
      <w:sz w:val="24"/>
    </w:rPr>
  </w:style>
  <w:style w:type="paragraph" w:styleId="Heading5">
    <w:name w:val="heading 5"/>
    <w:basedOn w:val="Normal"/>
    <w:next w:val="BodyText"/>
    <w:link w:val="Heading5Char"/>
    <w:qFormat/>
    <w:pPr>
      <w:keepNext/>
      <w:numPr>
        <w:ilvl w:val="4"/>
        <w:numId w:val="1"/>
      </w:numPr>
      <w:spacing w:before="120" w:after="80"/>
      <w:outlineLvl w:val="4"/>
    </w:pPr>
    <w:rPr>
      <w:rFonts w:ascii="Arial" w:hAnsi="Arial"/>
      <w:b/>
      <w:kern w:val="28"/>
    </w:rPr>
  </w:style>
  <w:style w:type="paragraph" w:styleId="Heading6">
    <w:name w:val="heading 6"/>
    <w:basedOn w:val="Normal"/>
    <w:next w:val="BodyText"/>
    <w:link w:val="Heading6Char"/>
    <w:qFormat/>
    <w:pPr>
      <w:keepNext/>
      <w:numPr>
        <w:ilvl w:val="5"/>
        <w:numId w:val="1"/>
      </w:numPr>
      <w:spacing w:before="80" w:after="80"/>
      <w:outlineLvl w:val="5"/>
    </w:pPr>
    <w:rPr>
      <w:rFonts w:ascii="Arial" w:hAnsi="Arial"/>
      <w:b/>
      <w:i/>
      <w:kern w:val="28"/>
    </w:rPr>
  </w:style>
  <w:style w:type="paragraph" w:styleId="Heading7">
    <w:name w:val="heading 7"/>
    <w:basedOn w:val="Normal"/>
    <w:next w:val="BodyText"/>
    <w:qFormat/>
    <w:pPr>
      <w:keepNext/>
      <w:numPr>
        <w:ilvl w:val="6"/>
        <w:numId w:val="1"/>
      </w:numPr>
      <w:spacing w:before="80" w:after="60"/>
      <w:outlineLvl w:val="6"/>
    </w:pPr>
    <w:rPr>
      <w:b/>
      <w:kern w:val="28"/>
    </w:rPr>
  </w:style>
  <w:style w:type="paragraph" w:styleId="Heading8">
    <w:name w:val="heading 8"/>
    <w:basedOn w:val="Normal"/>
    <w:next w:val="BodyText"/>
    <w:qFormat/>
    <w:pPr>
      <w:keepNext/>
      <w:numPr>
        <w:ilvl w:val="7"/>
        <w:numId w:val="1"/>
      </w:numPr>
      <w:spacing w:before="80" w:after="60"/>
      <w:outlineLvl w:val="7"/>
    </w:pPr>
    <w:rPr>
      <w:b/>
      <w:i/>
      <w:kern w:val="28"/>
    </w:rPr>
  </w:style>
  <w:style w:type="paragraph" w:styleId="Heading9">
    <w:name w:val="heading 9"/>
    <w:basedOn w:val="Normal"/>
    <w:next w:val="BodyText"/>
    <w:qFormat/>
    <w:pPr>
      <w:keepNext/>
      <w:numPr>
        <w:ilvl w:val="8"/>
        <w:numId w:val="1"/>
      </w:numPr>
      <w:spacing w:before="80" w:after="60"/>
      <w:outlineLvl w:val="8"/>
    </w:pPr>
    <w:rPr>
      <w:b/>
      <w:i/>
      <w:kern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</w:style>
  <w:style w:type="paragraph" w:styleId="Title">
    <w:name w:val="Title"/>
    <w:basedOn w:val="Normal"/>
    <w:qFormat/>
    <w:pPr>
      <w:keepNext/>
      <w:keepLines/>
      <w:pageBreakBefore/>
      <w:spacing w:before="360" w:after="160"/>
      <w:jc w:val="center"/>
    </w:pPr>
    <w:rPr>
      <w:rFonts w:ascii="Arial" w:hAnsi="Arial"/>
      <w:b/>
      <w:kern w:val="28"/>
      <w:sz w:val="72"/>
    </w:rPr>
  </w:style>
  <w:style w:type="paragraph" w:styleId="BodyText">
    <w:name w:val="Body Text"/>
    <w:basedOn w:val="Normal"/>
    <w:link w:val="BodyTextChar"/>
    <w:autoRedefine/>
    <w:rsid w:val="00200092"/>
    <w:pPr>
      <w:keepLines/>
      <w:spacing w:before="80" w:after="80"/>
    </w:pPr>
    <w:rPr>
      <w:sz w:val="24"/>
      <w:szCs w:val="24"/>
    </w:rPr>
  </w:style>
  <w:style w:type="character" w:styleId="FootnoteReference">
    <w:name w:val="footnote reference"/>
    <w:semiHidden/>
    <w:rPr>
      <w:vertAlign w:val="superscript"/>
    </w:rPr>
  </w:style>
  <w:style w:type="character" w:styleId="PageNumber">
    <w:name w:val="page number"/>
    <w:rPr>
      <w:b/>
    </w:rPr>
  </w:style>
  <w:style w:type="paragraph" w:customStyle="1" w:styleId="cabealho-capa">
    <w:name w:val="cabeçalho-capa"/>
    <w:basedOn w:val="Heading2"/>
    <w:pPr>
      <w:numPr>
        <w:ilvl w:val="0"/>
        <w:numId w:val="0"/>
      </w:numPr>
      <w:jc w:val="center"/>
      <w:outlineLvl w:val="9"/>
    </w:pPr>
    <w:rPr>
      <w:i w:val="0"/>
    </w:rPr>
  </w:style>
  <w:style w:type="paragraph" w:customStyle="1" w:styleId="capa-ttulo">
    <w:name w:val="capa-título"/>
    <w:basedOn w:val="Heading1"/>
    <w:pPr>
      <w:numPr>
        <w:numId w:val="0"/>
      </w:numPr>
      <w:outlineLvl w:val="9"/>
    </w:pPr>
  </w:style>
  <w:style w:type="paragraph" w:customStyle="1" w:styleId="capa-autor">
    <w:name w:val="capa-autor"/>
    <w:basedOn w:val="Heading2"/>
    <w:pPr>
      <w:numPr>
        <w:ilvl w:val="0"/>
        <w:numId w:val="0"/>
      </w:numPr>
      <w:jc w:val="center"/>
      <w:outlineLvl w:val="9"/>
    </w:pPr>
    <w:rPr>
      <w:i w:val="0"/>
    </w:rPr>
  </w:style>
  <w:style w:type="paragraph" w:customStyle="1" w:styleId="capa-local">
    <w:name w:val="capa-local"/>
    <w:basedOn w:val="Heading2"/>
    <w:pPr>
      <w:numPr>
        <w:ilvl w:val="0"/>
        <w:numId w:val="0"/>
      </w:numPr>
      <w:jc w:val="center"/>
      <w:outlineLvl w:val="9"/>
    </w:pPr>
    <w:rPr>
      <w:i w:val="0"/>
    </w:rPr>
  </w:style>
  <w:style w:type="paragraph" w:customStyle="1" w:styleId="capa-data">
    <w:name w:val="capa-data"/>
    <w:basedOn w:val="Heading1"/>
    <w:pPr>
      <w:numPr>
        <w:numId w:val="0"/>
      </w:numPr>
      <w:outlineLvl w:val="9"/>
    </w:pPr>
    <w:rPr>
      <w:i/>
      <w:noProof/>
      <w:kern w:val="0"/>
      <w:sz w:val="24"/>
    </w:rPr>
  </w:style>
  <w:style w:type="paragraph" w:styleId="ListBullet">
    <w:name w:val="List Bullet"/>
    <w:basedOn w:val="List"/>
    <w:autoRedefine/>
    <w:pPr>
      <w:numPr>
        <w:numId w:val="2"/>
      </w:numPr>
      <w:tabs>
        <w:tab w:val="clear" w:pos="720"/>
      </w:tabs>
      <w:spacing w:after="160"/>
    </w:pPr>
  </w:style>
  <w:style w:type="paragraph" w:styleId="List">
    <w:name w:val="List"/>
    <w:basedOn w:val="BodyText"/>
    <w:pPr>
      <w:tabs>
        <w:tab w:val="left" w:pos="720"/>
      </w:tabs>
      <w:ind w:left="720" w:hanging="360"/>
    </w:pPr>
  </w:style>
  <w:style w:type="paragraph" w:styleId="Caption">
    <w:name w:val="caption"/>
    <w:basedOn w:val="Normal"/>
    <w:next w:val="BodyText"/>
    <w:uiPriority w:val="35"/>
    <w:qFormat/>
    <w:pPr>
      <w:spacing w:before="120" w:after="160"/>
      <w:jc w:val="center"/>
    </w:pPr>
    <w:rPr>
      <w:i/>
      <w:sz w:val="18"/>
    </w:rPr>
  </w:style>
  <w:style w:type="paragraph" w:styleId="ListNumber">
    <w:name w:val="List Number"/>
    <w:basedOn w:val="List"/>
    <w:autoRedefine/>
    <w:pPr>
      <w:tabs>
        <w:tab w:val="clear" w:pos="720"/>
      </w:tabs>
      <w:spacing w:after="160"/>
      <w:ind w:hanging="720"/>
    </w:pPr>
  </w:style>
  <w:style w:type="paragraph" w:customStyle="1" w:styleId="Figura">
    <w:name w:val="Figura"/>
    <w:basedOn w:val="BodyText"/>
    <w:next w:val="Caption"/>
    <w:pPr>
      <w:jc w:val="center"/>
    </w:pPr>
  </w:style>
  <w:style w:type="paragraph" w:styleId="ListBullet2">
    <w:name w:val="List Bullet 2"/>
    <w:basedOn w:val="ListBullet"/>
    <w:pPr>
      <w:ind w:left="1080"/>
    </w:pPr>
  </w:style>
  <w:style w:type="paragraph" w:styleId="FootnoteText">
    <w:name w:val="footnote text"/>
    <w:basedOn w:val="Normal"/>
    <w:semiHidden/>
    <w:pPr>
      <w:tabs>
        <w:tab w:val="left" w:pos="187"/>
      </w:tabs>
      <w:spacing w:after="120" w:line="220" w:lineRule="exact"/>
      <w:ind w:left="187" w:hanging="187"/>
    </w:pPr>
    <w:rPr>
      <w:sz w:val="18"/>
    </w:rPr>
  </w:style>
  <w:style w:type="paragraph" w:customStyle="1" w:styleId="FootnoteBase">
    <w:name w:val="Footnote Base"/>
    <w:basedOn w:val="Normal"/>
    <w:pPr>
      <w:tabs>
        <w:tab w:val="left" w:pos="187"/>
      </w:tabs>
      <w:spacing w:line="220" w:lineRule="exact"/>
      <w:ind w:left="187" w:hanging="187"/>
    </w:pPr>
    <w:rPr>
      <w:sz w:val="18"/>
    </w:rPr>
  </w:style>
  <w:style w:type="paragraph" w:styleId="Footer">
    <w:name w:val="footer"/>
    <w:basedOn w:val="Normal"/>
    <w:pPr>
      <w:keepLines/>
      <w:tabs>
        <w:tab w:val="center" w:pos="4320"/>
        <w:tab w:val="right" w:pos="8640"/>
      </w:tabs>
    </w:pPr>
  </w:style>
  <w:style w:type="paragraph" w:styleId="TOC1">
    <w:name w:val="toc 1"/>
    <w:basedOn w:val="Normal"/>
    <w:next w:val="Normal"/>
    <w:uiPriority w:val="39"/>
  </w:style>
  <w:style w:type="paragraph" w:styleId="TOC2">
    <w:name w:val="toc 2"/>
    <w:basedOn w:val="Normal"/>
    <w:next w:val="Normal"/>
    <w:uiPriority w:val="39"/>
    <w:pPr>
      <w:ind w:left="200"/>
    </w:pPr>
  </w:style>
  <w:style w:type="paragraph" w:styleId="TOC3">
    <w:name w:val="toc 3"/>
    <w:basedOn w:val="Normal"/>
    <w:next w:val="Normal"/>
    <w:uiPriority w:val="39"/>
    <w:pPr>
      <w:ind w:left="400"/>
    </w:pPr>
  </w:style>
  <w:style w:type="paragraph" w:styleId="TOC4">
    <w:name w:val="toc 4"/>
    <w:basedOn w:val="Normal"/>
    <w:next w:val="Normal"/>
    <w:uiPriority w:val="39"/>
    <w:pPr>
      <w:ind w:left="600"/>
    </w:pPr>
  </w:style>
  <w:style w:type="paragraph" w:styleId="TOC5">
    <w:name w:val="toc 5"/>
    <w:basedOn w:val="Normal"/>
    <w:next w:val="Normal"/>
    <w:uiPriority w:val="39"/>
    <w:pPr>
      <w:ind w:left="800"/>
    </w:pPr>
  </w:style>
  <w:style w:type="paragraph" w:styleId="TOC6">
    <w:name w:val="toc 6"/>
    <w:basedOn w:val="Normal"/>
    <w:next w:val="Normal"/>
    <w:uiPriority w:val="39"/>
    <w:pPr>
      <w:ind w:left="1000"/>
    </w:pPr>
  </w:style>
  <w:style w:type="paragraph" w:styleId="TOC7">
    <w:name w:val="toc 7"/>
    <w:basedOn w:val="Normal"/>
    <w:next w:val="Normal"/>
    <w:uiPriority w:val="39"/>
    <w:pPr>
      <w:ind w:left="1200"/>
    </w:pPr>
  </w:style>
  <w:style w:type="paragraph" w:styleId="TOC8">
    <w:name w:val="toc 8"/>
    <w:basedOn w:val="Normal"/>
    <w:next w:val="Normal"/>
    <w:uiPriority w:val="39"/>
    <w:pPr>
      <w:ind w:left="1400"/>
    </w:pPr>
  </w:style>
  <w:style w:type="paragraph" w:styleId="TOC9">
    <w:name w:val="toc 9"/>
    <w:basedOn w:val="Normal"/>
    <w:next w:val="Normal"/>
    <w:uiPriority w:val="39"/>
    <w:pPr>
      <w:ind w:left="1600"/>
    </w:pPr>
  </w:style>
  <w:style w:type="paragraph" w:styleId="Header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Titulo">
    <w:name w:val="Titulo"/>
    <w:basedOn w:val="Normal"/>
    <w:next w:val="BodyText"/>
    <w:pPr>
      <w:spacing w:after="240"/>
      <w:jc w:val="center"/>
    </w:pPr>
    <w:rPr>
      <w:b/>
      <w:sz w:val="36"/>
    </w:rPr>
  </w:style>
  <w:style w:type="paragraph" w:styleId="Quote">
    <w:name w:val="Quote"/>
    <w:basedOn w:val="BodyText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ind w:left="432" w:right="432"/>
    </w:pPr>
  </w:style>
  <w:style w:type="character" w:customStyle="1" w:styleId="Negrito">
    <w:name w:val="Negrito"/>
    <w:rPr>
      <w:rFonts w:ascii="Arial" w:hAnsi="Arial"/>
      <w:b/>
      <w:sz w:val="24"/>
    </w:rPr>
  </w:style>
  <w:style w:type="paragraph" w:customStyle="1" w:styleId="Item">
    <w:name w:val="Item"/>
    <w:basedOn w:val="BodyText"/>
    <w:pPr>
      <w:ind w:left="715" w:hanging="284"/>
    </w:pPr>
  </w:style>
  <w:style w:type="paragraph" w:customStyle="1" w:styleId="parag-item">
    <w:name w:val="parag-item"/>
    <w:basedOn w:val="Item"/>
    <w:pPr>
      <w:ind w:left="680" w:firstLine="0"/>
    </w:pPr>
  </w:style>
  <w:style w:type="paragraph" w:customStyle="1" w:styleId="Descrio">
    <w:name w:val="Descrição"/>
    <w:basedOn w:val="Normal"/>
    <w:next w:val="BodyText"/>
    <w:pPr>
      <w:spacing w:before="60" w:after="60"/>
      <w:ind w:left="864" w:hanging="432"/>
    </w:pPr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link w:val="CommentTextChar"/>
    <w:autoRedefine/>
    <w:semiHidden/>
    <w:pPr>
      <w:tabs>
        <w:tab w:val="left" w:pos="187"/>
      </w:tabs>
      <w:spacing w:after="120" w:line="220" w:lineRule="exact"/>
      <w:ind w:left="187" w:hanging="187"/>
    </w:pPr>
  </w:style>
  <w:style w:type="paragraph" w:styleId="ListNumber2">
    <w:name w:val="List Number 2"/>
    <w:basedOn w:val="ListNumber"/>
    <w:pPr>
      <w:numPr>
        <w:ilvl w:val="1"/>
      </w:numPr>
      <w:ind w:left="1080" w:hanging="360"/>
    </w:pPr>
  </w:style>
  <w:style w:type="paragraph" w:styleId="Subtitle">
    <w:name w:val="Subtitle"/>
    <w:basedOn w:val="Normal"/>
    <w:next w:val="Normal"/>
    <w:pPr>
      <w:keepNext/>
      <w:keepLines/>
      <w:spacing w:before="480" w:after="480"/>
      <w:jc w:val="center"/>
    </w:pPr>
    <w:rPr>
      <w:rFonts w:ascii="Arial" w:eastAsia="Arial" w:hAnsi="Arial" w:cs="Arial"/>
      <w:i/>
      <w:sz w:val="28"/>
      <w:szCs w:val="28"/>
    </w:rPr>
  </w:style>
  <w:style w:type="paragraph" w:customStyle="1" w:styleId="Autor">
    <w:name w:val="Autor"/>
    <w:basedOn w:val="Normal"/>
    <w:pPr>
      <w:keepNext/>
      <w:keepLines/>
      <w:spacing w:before="760" w:after="360"/>
      <w:jc w:val="center"/>
    </w:pPr>
    <w:rPr>
      <w:rFonts w:ascii="Arial" w:hAnsi="Arial"/>
      <w:kern w:val="28"/>
      <w:sz w:val="32"/>
    </w:rPr>
  </w:style>
  <w:style w:type="paragraph" w:styleId="Date">
    <w:name w:val="Date"/>
    <w:basedOn w:val="Normal"/>
    <w:next w:val="Normal"/>
  </w:style>
  <w:style w:type="paragraph" w:customStyle="1" w:styleId="Cdigo">
    <w:name w:val="Código"/>
    <w:basedOn w:val="BodyText"/>
    <w:rPr>
      <w:rFonts w:ascii="Courier New" w:hAnsi="Courier New"/>
      <w:noProof/>
    </w:rPr>
  </w:style>
  <w:style w:type="paragraph" w:customStyle="1" w:styleId="Livre">
    <w:name w:val="Livre"/>
    <w:rPr>
      <w:noProof/>
      <w:lang w:eastAsia="pt-BR"/>
    </w:rPr>
  </w:style>
  <w:style w:type="paragraph" w:customStyle="1" w:styleId="sumrio">
    <w:name w:val="sumário"/>
    <w:basedOn w:val="Heading1"/>
    <w:pPr>
      <w:numPr>
        <w:numId w:val="0"/>
      </w:numPr>
      <w:tabs>
        <w:tab w:val="num" w:pos="648"/>
      </w:tabs>
      <w:ind w:left="284" w:firstLine="6"/>
    </w:pPr>
    <w:rPr>
      <w:i/>
      <w:sz w:val="28"/>
    </w:rPr>
  </w:style>
  <w:style w:type="paragraph" w:customStyle="1" w:styleId="TOCBase">
    <w:name w:val="TOC Base"/>
    <w:basedOn w:val="Normal"/>
    <w:pPr>
      <w:tabs>
        <w:tab w:val="right" w:leader="dot" w:pos="8640"/>
      </w:tabs>
    </w:pPr>
  </w:style>
  <w:style w:type="paragraph" w:customStyle="1" w:styleId="Ttulodecaptulo">
    <w:name w:val="Título de capítulo"/>
    <w:basedOn w:val="Normal"/>
    <w:next w:val="Normal"/>
    <w:pPr>
      <w:keepNext/>
      <w:keepLines/>
      <w:pageBreakBefore/>
      <w:spacing w:before="480" w:after="720"/>
      <w:jc w:val="center"/>
    </w:pPr>
    <w:rPr>
      <w:rFonts w:ascii="Arial" w:hAnsi="Arial"/>
      <w:b/>
      <w:kern w:val="28"/>
      <w:sz w:val="44"/>
    </w:rPr>
  </w:style>
  <w:style w:type="paragraph" w:customStyle="1" w:styleId="Interface1">
    <w:name w:val="Interface 1"/>
    <w:basedOn w:val="BodyText"/>
    <w:pPr>
      <w:spacing w:after="0"/>
      <w:jc w:val="center"/>
    </w:pPr>
    <w:rPr>
      <w:rFonts w:ascii="Arial" w:hAnsi="Arial"/>
      <w:b/>
      <w:sz w:val="20"/>
    </w:rPr>
  </w:style>
  <w:style w:type="paragraph" w:customStyle="1" w:styleId="Interface2">
    <w:name w:val="Interface 2"/>
    <w:basedOn w:val="Interface1"/>
    <w:rPr>
      <w:b w:val="0"/>
    </w:rPr>
  </w:style>
  <w:style w:type="paragraph" w:styleId="BodyTextIndent">
    <w:name w:val="Body Text Indent"/>
    <w:basedOn w:val="BodyText"/>
    <w:pPr>
      <w:ind w:left="360"/>
    </w:pPr>
  </w:style>
  <w:style w:type="character" w:styleId="EndnoteReference">
    <w:name w:val="endnote reference"/>
    <w:semiHidden/>
    <w:rPr>
      <w:vertAlign w:val="superscript"/>
    </w:rPr>
  </w:style>
  <w:style w:type="paragraph" w:styleId="EndnoteText">
    <w:name w:val="endnote text"/>
    <w:basedOn w:val="Normal"/>
    <w:semiHidden/>
    <w:pPr>
      <w:tabs>
        <w:tab w:val="left" w:pos="187"/>
      </w:tabs>
      <w:spacing w:after="120" w:line="220" w:lineRule="exact"/>
      <w:ind w:left="187" w:hanging="187"/>
    </w:pPr>
    <w:rPr>
      <w:sz w:val="18"/>
    </w:rPr>
  </w:style>
  <w:style w:type="paragraph" w:styleId="List2">
    <w:name w:val="List 2"/>
    <w:basedOn w:val="List"/>
    <w:pPr>
      <w:tabs>
        <w:tab w:val="clear" w:pos="720"/>
        <w:tab w:val="left" w:pos="1080"/>
      </w:tabs>
      <w:ind w:left="1080"/>
    </w:pPr>
  </w:style>
  <w:style w:type="paragraph" w:styleId="List3">
    <w:name w:val="List 3"/>
    <w:basedOn w:val="List"/>
    <w:pPr>
      <w:tabs>
        <w:tab w:val="clear" w:pos="720"/>
        <w:tab w:val="left" w:pos="1440"/>
      </w:tabs>
      <w:ind w:left="1440"/>
    </w:pPr>
  </w:style>
  <w:style w:type="paragraph" w:styleId="ListBullet3">
    <w:name w:val="List Bullet 3"/>
    <w:basedOn w:val="ListBullet"/>
    <w:autoRedefine/>
    <w:pPr>
      <w:ind w:left="1440"/>
    </w:pPr>
  </w:style>
  <w:style w:type="paragraph" w:styleId="ListContinue">
    <w:name w:val="List Continue"/>
    <w:basedOn w:val="List"/>
    <w:pPr>
      <w:tabs>
        <w:tab w:val="clear" w:pos="720"/>
      </w:tabs>
      <w:spacing w:after="160"/>
    </w:pPr>
  </w:style>
  <w:style w:type="paragraph" w:styleId="ListContinue2">
    <w:name w:val="List Continue 2"/>
    <w:basedOn w:val="ListContinue"/>
    <w:pPr>
      <w:ind w:left="1080"/>
    </w:pPr>
  </w:style>
  <w:style w:type="paragraph" w:styleId="ListContinue3">
    <w:name w:val="List Continue 3"/>
    <w:basedOn w:val="ListContinue"/>
    <w:pPr>
      <w:ind w:left="1440"/>
    </w:pPr>
  </w:style>
  <w:style w:type="paragraph" w:styleId="ListNumber3">
    <w:name w:val="List Number 3"/>
    <w:basedOn w:val="ListNumber"/>
    <w:pPr>
      <w:numPr>
        <w:ilvl w:val="2"/>
      </w:numPr>
      <w:ind w:left="1440" w:hanging="360"/>
    </w:pPr>
  </w:style>
  <w:style w:type="paragraph" w:styleId="MacroText">
    <w:name w:val="macro"/>
    <w:basedOn w:val="BodyText"/>
    <w:semiHidden/>
    <w:pPr>
      <w:spacing w:after="120"/>
    </w:pPr>
    <w:rPr>
      <w:rFonts w:ascii="Courier New" w:hAnsi="Courier New"/>
    </w:rPr>
  </w:style>
  <w:style w:type="paragraph" w:styleId="NormalIndent">
    <w:name w:val="Normal Indent"/>
    <w:basedOn w:val="Normal"/>
    <w:pPr>
      <w:ind w:left="1080"/>
    </w:pPr>
  </w:style>
  <w:style w:type="paragraph" w:customStyle="1" w:styleId="Tabela">
    <w:name w:val="Tabela"/>
    <w:basedOn w:val="BodyText"/>
    <w:pPr>
      <w:keepNext/>
      <w:spacing w:before="40" w:after="40"/>
    </w:pPr>
  </w:style>
  <w:style w:type="paragraph" w:customStyle="1" w:styleId="Caso">
    <w:name w:val="Caso"/>
    <w:basedOn w:val="Normal"/>
    <w:pPr>
      <w:ind w:left="600" w:right="600"/>
      <w:jc w:val="both"/>
    </w:pPr>
    <w:rPr>
      <w:rFonts w:ascii="Book Antiqua" w:hAnsi="Book Antiqua"/>
    </w:rPr>
  </w:style>
  <w:style w:type="paragraph" w:customStyle="1" w:styleId="Cdigo-exemplo">
    <w:name w:val="Código-exemplo"/>
    <w:basedOn w:val="Cdigo"/>
    <w:pPr>
      <w:keepNext/>
      <w:spacing w:before="0" w:after="0"/>
    </w:pPr>
    <w:rPr>
      <w:sz w:val="18"/>
    </w:rPr>
  </w:style>
  <w:style w:type="paragraph" w:customStyle="1" w:styleId="Ttulodecapa">
    <w:name w:val="Título de capa"/>
    <w:basedOn w:val="Title"/>
    <w:rPr>
      <w:sz w:val="96"/>
    </w:rPr>
  </w:style>
  <w:style w:type="paragraph" w:styleId="ListNumber4">
    <w:name w:val="List Number 4"/>
    <w:basedOn w:val="ListNumber"/>
    <w:pPr>
      <w:tabs>
        <w:tab w:val="num" w:pos="2520"/>
      </w:tabs>
      <w:spacing w:before="0"/>
      <w:ind w:left="1728" w:hanging="648"/>
    </w:pPr>
  </w:style>
  <w:style w:type="paragraph" w:styleId="ListNumber5">
    <w:name w:val="List Number 5"/>
    <w:basedOn w:val="ListNumber"/>
    <w:pPr>
      <w:tabs>
        <w:tab w:val="num" w:pos="3240"/>
      </w:tabs>
      <w:spacing w:before="0"/>
      <w:ind w:left="2232" w:hanging="792"/>
    </w:pPr>
  </w:style>
  <w:style w:type="paragraph" w:customStyle="1" w:styleId="Pginaembranco">
    <w:name w:val="Página em branco"/>
    <w:basedOn w:val="Title"/>
    <w:rPr>
      <w:color w:val="C0C0C0"/>
    </w:rPr>
  </w:style>
  <w:style w:type="paragraph" w:customStyle="1" w:styleId="Tabelareduzida">
    <w:name w:val="Tabela reduzida"/>
    <w:basedOn w:val="Tabela"/>
    <w:rPr>
      <w:sz w:val="20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50F7"/>
    <w:pPr>
      <w:tabs>
        <w:tab w:val="clear" w:pos="187"/>
      </w:tabs>
      <w:spacing w:after="0" w:line="240" w:lineRule="auto"/>
      <w:ind w:left="0" w:firstLine="0"/>
    </w:pPr>
    <w:rPr>
      <w:b/>
      <w:bCs/>
    </w:rPr>
  </w:style>
  <w:style w:type="character" w:customStyle="1" w:styleId="CommentTextChar">
    <w:name w:val="Comment Text Char"/>
    <w:link w:val="CommentText"/>
    <w:semiHidden/>
    <w:rsid w:val="00D550F7"/>
    <w:rPr>
      <w:lang w:val="pt-BR" w:eastAsia="pt-BR"/>
    </w:rPr>
  </w:style>
  <w:style w:type="character" w:customStyle="1" w:styleId="CommentSubjectChar">
    <w:name w:val="Comment Subject Char"/>
    <w:basedOn w:val="CommentTextChar"/>
    <w:link w:val="CommentSubject"/>
    <w:rsid w:val="00D550F7"/>
    <w:rPr>
      <w:lang w:val="pt-BR" w:eastAsia="pt-B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50F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550F7"/>
    <w:rPr>
      <w:rFonts w:ascii="Tahoma" w:hAnsi="Tahoma" w:cs="Tahoma"/>
      <w:sz w:val="16"/>
      <w:szCs w:val="16"/>
      <w:lang w:val="pt-BR" w:eastAsia="pt-BR"/>
    </w:rPr>
  </w:style>
  <w:style w:type="table" w:styleId="TableGrid">
    <w:name w:val="Table Grid"/>
    <w:basedOn w:val="TableNormal"/>
    <w:uiPriority w:val="59"/>
    <w:rsid w:val="00D82966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">
    <w:name w:val="Table"/>
    <w:basedOn w:val="TableNormal"/>
    <w:uiPriority w:val="59"/>
    <w:rsid w:val="00D82966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B29FB"/>
    <w:pPr>
      <w:ind w:left="708"/>
    </w:pPr>
  </w:style>
  <w:style w:type="character" w:customStyle="1" w:styleId="Heading5Char">
    <w:name w:val="Heading 5 Char"/>
    <w:link w:val="Heading5"/>
    <w:rsid w:val="00C05D66"/>
    <w:rPr>
      <w:rFonts w:ascii="Arial" w:hAnsi="Arial"/>
      <w:b/>
      <w:kern w:val="28"/>
      <w:lang w:eastAsia="pt-BR"/>
    </w:rPr>
  </w:style>
  <w:style w:type="character" w:customStyle="1" w:styleId="BodyTextChar">
    <w:name w:val="Body Text Char"/>
    <w:link w:val="BodyText"/>
    <w:rsid w:val="00200092"/>
    <w:rPr>
      <w:sz w:val="24"/>
      <w:szCs w:val="24"/>
      <w:lang w:eastAsia="pt-BR"/>
    </w:rPr>
  </w:style>
  <w:style w:type="character" w:customStyle="1" w:styleId="Heading6Char">
    <w:name w:val="Heading 6 Char"/>
    <w:link w:val="Heading6"/>
    <w:rsid w:val="008063A7"/>
    <w:rPr>
      <w:rFonts w:ascii="Arial" w:hAnsi="Arial"/>
      <w:b/>
      <w:i/>
      <w:kern w:val="28"/>
      <w:lang w:eastAsia="pt-BR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70" w:type="dxa"/>
        <w:bottom w:w="0" w:type="dxa"/>
        <w:right w:w="70" w:type="dxa"/>
      </w:tblCellMar>
    </w:tblPr>
  </w:style>
  <w:style w:type="numbering" w:customStyle="1" w:styleId="Style1">
    <w:name w:val="Style1"/>
    <w:uiPriority w:val="99"/>
    <w:rsid w:val="0054775F"/>
    <w:pPr>
      <w:numPr>
        <w:numId w:val="3"/>
      </w:numPr>
    </w:pPr>
  </w:style>
  <w:style w:type="paragraph" w:customStyle="1" w:styleId="Topics">
    <w:name w:val="Topics"/>
    <w:basedOn w:val="Normal"/>
    <w:rsid w:val="00225700"/>
    <w:pPr>
      <w:numPr>
        <w:numId w:val="9"/>
      </w:numPr>
      <w:jc w:val="both"/>
    </w:pPr>
    <w:rPr>
      <w:sz w:val="24"/>
      <w:szCs w:val="24"/>
      <w:lang w:val="en-US" w:eastAsia="en-US"/>
    </w:rPr>
  </w:style>
  <w:style w:type="paragraph" w:customStyle="1" w:styleId="ExplicaodePreenchimento">
    <w:name w:val="Explicação de Preenchimento"/>
    <w:basedOn w:val="Normal"/>
    <w:link w:val="ExplicaodePreenchimentoChar"/>
    <w:qFormat/>
    <w:rsid w:val="00D166CC"/>
    <w:pPr>
      <w:spacing w:before="120" w:after="120" w:line="276" w:lineRule="auto"/>
      <w:jc w:val="both"/>
    </w:pPr>
    <w:rPr>
      <w:rFonts w:ascii="Arial" w:eastAsia="Calibri" w:hAnsi="Arial"/>
      <w:i/>
      <w:color w:val="ED7D31"/>
      <w:szCs w:val="22"/>
    </w:rPr>
  </w:style>
  <w:style w:type="character" w:customStyle="1" w:styleId="ExplicaodePreenchimentoChar">
    <w:name w:val="Explicação de Preenchimento Char"/>
    <w:link w:val="ExplicaodePreenchimento"/>
    <w:rsid w:val="00D166CC"/>
    <w:rPr>
      <w:rFonts w:ascii="Arial" w:eastAsia="Calibri" w:hAnsi="Arial"/>
      <w:i/>
      <w:color w:val="ED7D31"/>
      <w:szCs w:val="22"/>
      <w:lang w:eastAsia="pt-BR"/>
    </w:rPr>
  </w:style>
  <w:style w:type="paragraph" w:styleId="NormalWeb">
    <w:name w:val="Normal (Web)"/>
    <w:basedOn w:val="Normal"/>
    <w:uiPriority w:val="99"/>
    <w:unhideWhenUsed/>
    <w:rsid w:val="00151CC9"/>
    <w:pPr>
      <w:spacing w:before="100" w:beforeAutospacing="1" w:after="100" w:afterAutospacing="1"/>
    </w:pPr>
    <w:rPr>
      <w:sz w:val="24"/>
      <w:szCs w:val="24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8179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2.xml" /><Relationship Id="rId12" Type="http://schemas.openxmlformats.org/officeDocument/2006/relationships/footer" Target="footer1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14</Pages>
  <Words>2477</Words>
  <Characters>13382</Characters>
  <Application>Microsoft Office Word</Application>
  <DocSecurity>0</DocSecurity>
  <Lines>111</Lines>
  <Paragraphs>31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15828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2026-08-07T21:53:20Z</dcterms:created>
  <dcterms:modified xsi:type="dcterms:W3CDTF">2026-08-07T21:53:20Z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