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DOCX-HEADING-a1b2c3d4</w:t>
      </w:r>
    </w:p>
    <w:p>
      <w:r>
        <w:t>DOCX-PARA-e5f6g7h8</w:t>
      </w:r>
    </w:p>
    <w:p>
      <w:pPr>
        <w:pStyle w:val="Heading2"/>
      </w:pPr>
      <w:r>
        <w:t>Section Two</w:t>
      </w:r>
    </w:p>
    <w:p>
      <w:r>
        <w:rPr>
          <w:b/>
        </w:rPr>
        <w:t>DOCX-BOLD-i9j0k1l2</w:t>
      </w:r>
      <w:r>
        <w:t xml:space="preserve"> normal </w:t>
      </w:r>
      <w:r>
        <w:rPr>
          <w:i/>
        </w:rPr>
        <w:t>DOCX-ITALIC-m3n4o5p6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DOCX-TH-COL1</w:t>
            </w:r>
          </w:p>
        </w:tc>
        <w:tc>
          <w:tcPr>
            <w:tcW w:type="dxa" w:w="2880"/>
          </w:tcPr>
          <w:p>
            <w:r>
              <w:t>DOCX-TH-COL2</w:t>
            </w:r>
          </w:p>
        </w:tc>
        <w:tc>
          <w:tcPr>
            <w:tcW w:type="dxa" w:w="2880"/>
          </w:tcPr>
          <w:p>
            <w:r>
              <w:t>DOCX-TH-COL3</w:t>
            </w:r>
          </w:p>
        </w:tc>
      </w:tr>
      <w:tr>
        <w:tc>
          <w:tcPr>
            <w:tcW w:type="dxa" w:w="2880"/>
          </w:tcPr>
          <w:p>
            <w:r>
              <w:t>DOCX-TD-R1C1</w:t>
            </w:r>
          </w:p>
        </w:tc>
        <w:tc>
          <w:tcPr>
            <w:tcW w:type="dxa" w:w="2880"/>
          </w:tcPr>
          <w:p>
            <w:r>
              <w:t>DOCX-TD-R1C2</w:t>
            </w:r>
          </w:p>
        </w:tc>
        <w:tc>
          <w:tcPr>
            <w:tcW w:type="dxa" w:w="2880"/>
          </w:tcPr>
          <w:p>
            <w:r>
              <w:t>DOCX-TD-R1C3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