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HIỆU CHỈNH YÊU CẦU</w:t>
        <w:br/>
        <w:t>KHO DƯỢC RIKKEICARE</w:t>
      </w:r>
    </w:p>
    <w:p>
      <w:pPr>
        <w:jc w:val="center"/>
      </w:pPr>
      <w:r>
        <w:rPr>
          <w:i/>
          <w:sz w:val="24"/>
        </w:rPr>
        <w:t>Chuẩn hóa khảo sát hiện trạng &amp; đặc tả yêu cầu hệ thống</w:t>
      </w:r>
    </w:p>
    <w:p/>
    <w:p>
      <w:r>
        <w:rPr>
          <w:b/>
          <w:sz w:val="28"/>
        </w:rPr>
        <w:t>Mục tiêu bài làm</w:t>
      </w:r>
    </w:p>
    <w:p>
      <w:pPr>
        <w:pStyle w:val="ListBullet"/>
      </w:pPr>
      <w:r>
        <w:t>Phát hiện và sửa các nhận định sai nghiệp vụ trong tài liệu khảo sát hiện trường.</w:t>
      </w:r>
    </w:p>
    <w:p>
      <w:pPr>
        <w:pStyle w:val="ListBullet"/>
      </w:pPr>
      <w:r>
        <w:t>Phân biệt chính xác môi trường nội bộ và môi trường bên ngoài của hệ thống kho dược.</w:t>
      </w:r>
    </w:p>
    <w:p>
      <w:pPr>
        <w:pStyle w:val="ListBullet"/>
      </w:pPr>
      <w:r>
        <w:t>Phân định đúng Yêu cầu Chức năng (FR) và Yêu cầu Phi chức năng (NFR), đồng thời xử lý điều kiện biên đối với thuốc kiểm soát đặc biệt RESTRICTED.</w:t>
      </w:r>
    </w:p>
    <w:p>
      <w:r>
        <w:rPr>
          <w:b/>
          <w:sz w:val="28"/>
        </w:rPr>
        <w:t>PHẦN 1. BÓC TÁCH LỖI SAI NGHIỆP VỤ</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STT</w:t>
            </w:r>
          </w:p>
        </w:tc>
        <w:tc>
          <w:tcPr>
            <w:tcW w:type="dxa" w:w="2484"/>
            <w:vAlign w:val="center"/>
          </w:tcPr>
          <w:p>
            <w:r>
              <w:rPr>
                <w:b/>
              </w:rPr>
              <w:t>Nhận định sai</w:t>
            </w:r>
          </w:p>
        </w:tc>
        <w:tc>
          <w:tcPr>
            <w:tcW w:type="dxa" w:w="2484"/>
            <w:vAlign w:val="center"/>
          </w:tcPr>
          <w:p>
            <w:r>
              <w:rPr>
                <w:b/>
              </w:rPr>
              <w:t>Nguyên nhân sai</w:t>
            </w:r>
          </w:p>
        </w:tc>
        <w:tc>
          <w:tcPr>
            <w:tcW w:type="dxa" w:w="2484"/>
            <w:vAlign w:val="center"/>
          </w:tcPr>
          <w:p>
            <w:r>
              <w:rPr>
                <w:b/>
              </w:rPr>
              <w:t>Hậu quả nghiệp vụ nếu không sửa</w:t>
            </w:r>
          </w:p>
        </w:tc>
      </w:tr>
      <w:tr>
        <w:tc>
          <w:tcPr>
            <w:tcW w:type="dxa" w:w="2484"/>
            <w:vAlign w:val="center"/>
          </w:tcPr>
          <w:p>
            <w:r>
              <w:t>1</w:t>
            </w:r>
          </w:p>
        </w:tc>
        <w:tc>
          <w:tcPr>
            <w:tcW w:type="dxa" w:w="2484"/>
            <w:vAlign w:val="center"/>
          </w:tcPr>
          <w:p>
            <w:r>
              <w:t>Thông tư quản lý thuốc gây nghiện của Bộ Y tế là Môi trường Nội bộ của RikkeiCare.</w:t>
            </w:r>
          </w:p>
        </w:tc>
        <w:tc>
          <w:tcPr>
            <w:tcW w:type="dxa" w:w="2484"/>
            <w:vAlign w:val="center"/>
          </w:tcPr>
          <w:p>
            <w:r>
              <w:t>Thông tư và quy định của Bộ Y tế là yếu tố pháp lý bên ngoài, RikkeiCare không thể kiểm soát hoặc thay đổi trực tiếp.</w:t>
            </w:r>
          </w:p>
        </w:tc>
        <w:tc>
          <w:tcPr>
            <w:tcW w:type="dxa" w:w="2484"/>
            <w:vAlign w:val="center"/>
          </w:tcPr>
          <w:p>
            <w:r>
              <w:t>Nếu phân loại sai, hệ thống có thể không được thiết kế đúng các ràng buộc pháp lý, dẫn đến vi phạm quy định quản lý thuốc và rủi ro bị xử phạt.</w:t>
            </w:r>
          </w:p>
        </w:tc>
      </w:tr>
      <w:tr>
        <w:tc>
          <w:tcPr>
            <w:tcW w:type="dxa" w:w="2484"/>
            <w:vAlign w:val="center"/>
          </w:tcPr>
          <w:p>
            <w:r>
              <w:t>2</w:t>
            </w:r>
          </w:p>
        </w:tc>
        <w:tc>
          <w:tcPr>
            <w:tcW w:type="dxa" w:w="2484"/>
            <w:vAlign w:val="center"/>
          </w:tcPr>
          <w:p>
            <w:r>
              <w:t>Kho dược vận hành hoàn hảo vì Dược sĩ luôn nhớ chính xác hạn dùng của từng lô thuốc nên không có rủi ro xuất nhầm thuốc hết hạn.</w:t>
            </w:r>
          </w:p>
        </w:tc>
        <w:tc>
          <w:tcPr>
            <w:tcW w:type="dxa" w:w="2484"/>
            <w:vAlign w:val="center"/>
          </w:tcPr>
          <w:p>
            <w:r>
              <w:t>Nhận định này bỏ qua bằng chứng thực tế về khiếu nại bệnh nhân nhận thuốc quá hạn và đánh giá AS-IS dựa trên giả định thay vì dữ liệu hiện trường.</w:t>
            </w:r>
          </w:p>
        </w:tc>
        <w:tc>
          <w:tcPr>
            <w:tcW w:type="dxa" w:w="2484"/>
            <w:vAlign w:val="center"/>
          </w:tcPr>
          <w:p>
            <w:r>
              <w:t>Nếu không sửa, hệ thống có thể thiếu chức năng kiểm soát hạn dùng, làm tăng nguy cơ xuất thuốc hết hạn, ảnh hưởng an toàn người bệnh và uy tín bệnh viện.</w:t>
            </w:r>
          </w:p>
        </w:tc>
      </w:tr>
      <w:tr>
        <w:tc>
          <w:tcPr>
            <w:tcW w:type="dxa" w:w="2484"/>
            <w:vAlign w:val="center"/>
          </w:tcPr>
          <w:p>
            <w:r>
              <w:t>3</w:t>
            </w:r>
          </w:p>
        </w:tc>
        <w:tc>
          <w:tcPr>
            <w:tcW w:type="dxa" w:w="2484"/>
            <w:vAlign w:val="center"/>
          </w:tcPr>
          <w:p>
            <w:r>
              <w:t>Hệ thống tự động khóa các lô thuốc hết hạn sử dụng là Yêu cầu Phi chức năng.</w:t>
            </w:r>
          </w:p>
        </w:tc>
        <w:tc>
          <w:tcPr>
            <w:tcW w:type="dxa" w:w="2484"/>
            <w:vAlign w:val="center"/>
          </w:tcPr>
          <w:p>
            <w:r>
              <w:t>Đây là một hành động cụ thể mà hệ thống bắt buộc phải thực hiện, nên thuộc Yêu cầu Chức năng (FR), không phải đặc tính chất lượng hay ràng buộc hiệu năng.</w:t>
            </w:r>
          </w:p>
        </w:tc>
        <w:tc>
          <w:tcPr>
            <w:tcW w:type="dxa" w:w="2484"/>
            <w:vAlign w:val="center"/>
          </w:tcPr>
          <w:p>
            <w:r>
              <w:t>Nếu phân loại sai, chức năng kiểm soát thuốc hết hạn có thể bị bỏ sót trong thiết kế và kiểm thử, dẫn đến nguy cơ hệ thống cho phép xuất thuốc không còn giá trị sử dụng.</w:t>
            </w:r>
          </w:p>
        </w:tc>
      </w:tr>
    </w:tbl>
    <w:p/>
    <w:p>
      <w:r>
        <w:rPr>
          <w:b/>
          <w:sz w:val="28"/>
        </w:rPr>
        <w:t>PHẦN 2. PHÂN LOẠI MÔI TRƯỜNG &amp; YÊU CẦU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Yếu tố khảo sát tại Kho Dược</w:t>
            </w:r>
          </w:p>
        </w:tc>
        <w:tc>
          <w:tcPr>
            <w:tcW w:type="dxa" w:w="3312"/>
            <w:vAlign w:val="center"/>
          </w:tcPr>
          <w:p>
            <w:r>
              <w:rPr>
                <w:b/>
              </w:rPr>
              <w:t>Thuộc loại Môi trường</w:t>
            </w:r>
          </w:p>
        </w:tc>
        <w:tc>
          <w:tcPr>
            <w:tcW w:type="dxa" w:w="3312"/>
            <w:vAlign w:val="center"/>
          </w:tcPr>
          <w:p>
            <w:r>
              <w:rPr>
                <w:b/>
              </w:rPr>
              <w:t>Tác động trực tiếp đến phần mềm</w:t>
            </w:r>
          </w:p>
        </w:tc>
      </w:tr>
      <w:tr>
        <w:tc>
          <w:tcPr>
            <w:tcW w:type="dxa" w:w="3312"/>
            <w:vAlign w:val="center"/>
          </w:tcPr>
          <w:p>
            <w:r>
              <w:t>Kỹ năng vi tính &amp; thói quen ghi sổ của Dược sĩ</w:t>
            </w:r>
          </w:p>
        </w:tc>
        <w:tc>
          <w:tcPr>
            <w:tcW w:type="dxa" w:w="3312"/>
            <w:vAlign w:val="center"/>
          </w:tcPr>
          <w:p>
            <w:r>
              <w:t>Môi trường Nội bộ</w:t>
            </w:r>
          </w:p>
        </w:tc>
        <w:tc>
          <w:tcPr>
            <w:tcW w:type="dxa" w:w="3312"/>
            <w:vAlign w:val="center"/>
          </w:tcPr>
          <w:p>
            <w:r>
              <w:t>Cần giao diện tối giản, hỗ trợ quét mã vạch.</w:t>
            </w:r>
          </w:p>
        </w:tc>
      </w:tr>
      <w:tr>
        <w:tc>
          <w:tcPr>
            <w:tcW w:type="dxa" w:w="3312"/>
            <w:vAlign w:val="center"/>
          </w:tcPr>
          <w:p>
            <w:r>
              <w:t>Thông tư &amp; Chế tài xử phạt của Bộ Y tế</w:t>
            </w:r>
          </w:p>
        </w:tc>
        <w:tc>
          <w:tcPr>
            <w:tcW w:type="dxa" w:w="3312"/>
            <w:vAlign w:val="center"/>
          </w:tcPr>
          <w:p>
            <w:r>
              <w:t>Môi trường Bên ngoài</w:t>
            </w:r>
          </w:p>
        </w:tc>
        <w:tc>
          <w:tcPr>
            <w:tcW w:type="dxa" w:w="3312"/>
            <w:vAlign w:val="center"/>
          </w:tcPr>
          <w:p>
            <w:r>
              <w:t>Bắt buộc khóa tự động thuốc hết hạn, lưu audit log.</w:t>
            </w:r>
          </w:p>
        </w:tc>
      </w:tr>
      <w:tr>
        <w:tc>
          <w:tcPr>
            <w:tcW w:type="dxa" w:w="3312"/>
            <w:vAlign w:val="center"/>
          </w:tcPr>
          <w:p>
            <w:r>
              <w:t>Hạ tầng máy chủ và mạng LAN nội bộ bệnh viện</w:t>
            </w:r>
          </w:p>
        </w:tc>
        <w:tc>
          <w:tcPr>
            <w:tcW w:type="dxa" w:w="3312"/>
            <w:vAlign w:val="center"/>
          </w:tcPr>
          <w:p>
            <w:r>
              <w:t>Môi trường Nội bộ</w:t>
            </w:r>
          </w:p>
        </w:tc>
        <w:tc>
          <w:tcPr>
            <w:tcW w:type="dxa" w:w="3312"/>
            <w:vAlign w:val="center"/>
          </w:tcPr>
          <w:p>
            <w:r>
              <w:t>Phần mềm phải tương thích với hạ tầng máy chủ và mạng LAN nội bộ; đồng thời bảo đảm cơ chế xác nhận kép (Dual-Authorization) khi xuất thuốc RESTRICTED, không cho phép một nhân viên tự hoàn tất thao tác xuất kho.</w:t>
            </w:r>
          </w:p>
        </w:tc>
      </w:tr>
    </w:tbl>
    <w:p/>
    <w:p>
      <w:r>
        <w:rPr>
          <w:b/>
          <w:sz w:val="26"/>
        </w:rPr>
        <w:t>Yêu cầu Chức năng (FR)</w:t>
      </w:r>
    </w:p>
    <w:p>
      <w:r>
        <w:t>FR-01: Hệ thống phải tự động kiểm tra hạn sử dụng của từng lô thuốc và tự động khóa không cho xuất kho các lô đã hết hạn.</w:t>
      </w:r>
    </w:p>
    <w:p>
      <w:r>
        <w:rPr>
          <w:b/>
          <w:sz w:val="26"/>
        </w:rPr>
        <w:t>Yêu cầu Phi chức năng (NFR)</w:t>
      </w:r>
    </w:p>
    <w:p>
      <w:r>
        <w:t>NFR-01: Hệ thống phải bảo đảm tính bảo mật và truy vết của nghiệp vụ xuất kho bằng cách ghi nhận đầy đủ người thực hiện, người xác nhận, thời gian và thao tác vào audit log; đối với thuốc RESTRICTED, thao tác xuất kho phải yêu cầu xác nhận kép từ Dược sĩ Trưởng khoa Dược.</w:t>
      </w:r>
    </w:p>
    <w:p>
      <w:r>
        <w:rPr>
          <w:b/>
          <w:sz w:val="28"/>
        </w:rPr>
        <w:t>KẾT LUẬN</w:t>
      </w:r>
    </w:p>
    <w:p>
      <w:r>
        <w:t>Tài liệu khảo sát được hiệu chỉnh theo đúng ranh giới môi trường hệ thống và nguyên tắc phân loại yêu cầu. Các quy định của Bộ Y tế được xác định là môi trường bên ngoài; các yếu tố nhân sự, quy trình và hạ tầng CNTT nội bộ được xác định là môi trường nội bộ. Chức năng khóa thuốc hết hạn được phân loại là FR vì mô tả hành động bắt buộc của hệ thống. Ngoài ra, điều kiện biên RESTRICTED được đưa vào yêu cầu nhằm bảo đảm thuốc hướng thần, gây nghiện không thể được một nhân viên tự ý xuất kho và phải có xác nhận kép từ Dược sĩ Trưởng khoa Dược.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