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Georgia" w:cs="Georgia" w:eastAsia="Georgia" w:hAnsi="Georgia"/>
          <w:b/>
          <w:bCs/>
          <w:color w:val="0B2F1D"/>
          <w:sz w:val="26"/>
          <w:szCs w:val="26"/>
        </w:rPr>
        <w:t xml:space="preserve">VKD GROUP</w:t>
      </w:r>
    </w:p>
    <w:p>
      <w:pPr>
        <w:spacing w:after="100" w:before="100"/>
      </w:pPr>
      <w:r>
        <w:rPr>
          <w:rFonts w:ascii="Georgia" w:cs="Georgia" w:eastAsia="Georgia" w:hAnsi="Georgia"/>
          <w:i/>
          <w:iCs/>
          <w:color w:val="9C7A22"/>
          <w:sz w:val="22"/>
          <w:szCs w:val="22"/>
        </w:rPr>
        <w:t xml:space="preserve">Tập đoàn Y Dược Sâm Ngọc Linh Việt Nam</w:t>
      </w:r>
    </w:p>
    <w:p>
      <w:pPr>
        <w:spacing w:after="200" w:before="500"/>
      </w:pPr>
      <w:r>
        <w:rPr>
          <w:rFonts w:ascii="Georgia" w:cs="Georgia" w:eastAsia="Georgia" w:hAnsi="Georgia"/>
          <w:b/>
          <w:bCs/>
          <w:color w:val="0B2F1D"/>
          <w:sz w:val="40"/>
          <w:szCs w:val="40"/>
        </w:rPr>
        <w:t xml:space="preserve">BÁO CÁO CHIẾN LƯỢC ĐỊNH VỊ TOÀN CẦU</w:t>
      </w:r>
    </w:p>
    <w:p>
      <w:pPr>
        <w:spacing w:after="400"/>
      </w:pPr>
      <w:r>
        <w:rPr>
          <w:rFonts w:ascii="Georgia" w:cs="Georgia" w:eastAsia="Georgia" w:hAnsi="Georgia"/>
          <w:b/>
          <w:bCs/>
          <w:color w:val="0B2F1D"/>
          <w:sz w:val="34"/>
          <w:szCs w:val="34"/>
        </w:rPr>
        <w:t xml:space="preserve">&amp; KIẾN TRÚC NỀN TẢNG THƯƠNG MẠI ĐIỆN TỬ VKD GROUP</w:t>
      </w:r>
    </w:p>
    <w:p>
      <w:pPr>
        <w:spacing w:after="100"/>
      </w:pPr>
      <w:r>
        <w:rPr>
          <w:rFonts w:ascii="Calibri" w:cs="Calibri" w:eastAsia="Calibri" w:hAnsi="Calibri"/>
          <w:b/>
          <w:bCs/>
          <w:color w:val="9C7A22"/>
          <w:sz w:val="24"/>
          <w:szCs w:val="24"/>
        </w:rPr>
        <w:t xml:space="preserve">Bản Thẩm Định &amp; Phát Triển Chuyên Sâu — v2.0</w:t>
      </w:r>
    </w:p>
    <w:p>
      <w:pPr>
        <w:spacing w:after="140" w:line="300"/>
      </w:pPr>
      <w:r>
        <w:rPr>
          <w:rFonts w:ascii="Calibri" w:cs="Calibri" w:eastAsia="Calibri" w:hAnsi="Calibri"/>
          <w:i w:val="false"/>
          <w:iCs w:val="false"/>
          <w:sz w:val="21"/>
          <w:szCs w:val="21"/>
        </w:rPr>
        <w:t xml:space="preserve">Trình Hội đồng Quản trị VKD Group · Cấu trúc theo chuẩn tư vấn chiến lược quốc tế (McKinsey &amp; Gartner Framework) · Đã đối chiếu với nguồn dữ liệu công khai cập nhật đến tháng 07/2026.</w:t>
      </w:r>
    </w:p>
    <w:p>
      <w:pPr>
        <w:spacing w:before="600"/>
      </w:pPr>
      <w:r>
        <w:rPr>
          <w:i/>
          <w:iCs/>
          <w:color w:val="595959"/>
          <w:sz w:val="20"/>
          <w:szCs w:val="20"/>
        </w:rPr>
        <w:t xml:space="preserve">Người thẩm định: Chuyên gia Chiến lược Thương hiệu &amp; Kiến trúc sư Nghiệp vụ (Business Analyst) cấp cao</w:t>
      </w:r>
    </w:p>
    <w:p>
      <w:r>
        <w:rPr>
          <w:i/>
          <w:iCs/>
          <w:color w:val="595959"/>
          <w:sz w:val="20"/>
          <w:szCs w:val="20"/>
        </w:rPr>
        <w:t xml:space="preserve">Ngày phát hành: Tháng 07/2026</w:t>
      </w:r>
    </w:p>
    <w:p>
      <w:r>
        <w:br w:type="page"/>
      </w:r>
    </w:p>
    <w:p>
      <w:pPr>
        <w:pStyle w:val="Heading1"/>
        <w:pBdr>
          <w:bottom w:val="single" w:color="9C7A22" w:sz="8" w:space="4"/>
        </w:pBdr>
        <w:spacing w:after="200" w:before="400"/>
      </w:pPr>
      <w:r>
        <w:rPr>
          <w:rFonts w:ascii="Georgia" w:cs="Georgia" w:eastAsia="Georgia" w:hAnsi="Georgia"/>
          <w:b/>
          <w:bCs/>
          <w:color w:val="0B2F1D"/>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9C7A22" w:sz="8" w:space="4"/>
        </w:pBdr>
        <w:spacing w:after="200" w:before="400"/>
      </w:pPr>
      <w:r>
        <w:rPr>
          <w:rFonts w:ascii="Georgia" w:cs="Georgia" w:eastAsia="Georgia" w:hAnsi="Georgia"/>
          <w:b/>
          <w:bCs/>
          <w:color w:val="0B2F1D"/>
          <w:sz w:val="30"/>
          <w:szCs w:val="30"/>
        </w:rPr>
        <w:t xml:space="preserve">TÓM TẮT ĐIỀU HÀNH (EXECUTIVE SUMMARY)</w:t>
      </w:r>
    </w:p>
    <w:p>
      <w:pPr>
        <w:spacing w:after="140" w:line="300"/>
      </w:pPr>
      <w:r>
        <w:rPr>
          <w:rFonts w:ascii="Calibri" w:cs="Calibri" w:eastAsia="Calibri" w:hAnsi="Calibri"/>
          <w:i w:val="false"/>
          <w:iCs w:val="false"/>
          <w:sz w:val="21"/>
          <w:szCs w:val="21"/>
        </w:rPr>
        <w:t xml:space="preserve">Báo cáo gốc do VKD Group biên soạn đã xác lập đúng hướng chiến lược: chuyển dịch định vị từ “thương hiệu quốc bảo cảm tính” sang “thẩm quyền khoa học về hoạt chất sinh học” (Active Ingredient Authority), lấy chuẩn Jung Kwan Jang (KGC – Hàn Quốc) làm điểm tham chiếu. Tài liệu này giữ nguyên tinh thần chiến lược đó, đồng thời thực hiện ba việc bổ sung mà một hội đồng quản trị sẽ cần trước khi phê duyệt ngân sách:</w:t>
      </w:r>
    </w:p>
    <w:p>
      <w:pPr>
        <w:pStyle w:val="ListParagraph"/>
        <w:numPr>
          <w:ilvl w:val="0"/>
          <w:numId w:val="2"/>
        </w:numPr>
        <w:spacing w:after="90" w:line="290"/>
      </w:pPr>
      <w:r>
        <w:rPr>
          <w:rFonts w:ascii="Calibri" w:cs="Calibri" w:eastAsia="Calibri" w:hAnsi="Calibri"/>
          <w:b/>
          <w:bCs/>
          <w:sz w:val="21"/>
          <w:szCs w:val="21"/>
        </w:rPr>
        <w:t xml:space="preserve">Xác minh độc lập các luận điểm dữ kiện then chốt (tên thương hiệu, lịch sử đối thủ, hoạt chất MR2, URL website) qua nguồn công khai — Phần 0.</w:t>
      </w:r>
    </w:p>
    <w:p>
      <w:pPr>
        <w:pStyle w:val="ListParagraph"/>
        <w:numPr>
          <w:ilvl w:val="0"/>
          <w:numId w:val="2"/>
        </w:numPr>
        <w:spacing w:after="90" w:line="290"/>
      </w:pPr>
      <w:r>
        <w:rPr>
          <w:rFonts w:ascii="Calibri" w:cs="Calibri" w:eastAsia="Calibri" w:hAnsi="Calibri"/>
          <w:b/>
          <w:bCs/>
          <w:sz w:val="21"/>
          <w:szCs w:val="21"/>
        </w:rPr>
        <w:t xml:space="preserve">Bổ sung một hạng mục rủi ro truyền thông/quản trị mà bản gốc chưa đề cập, liên quan đến các phản ánh báo chí về tính minh bạch vùng trồng của VKD Group — Phần 1.IV.</w:t>
      </w:r>
    </w:p>
    <w:p>
      <w:pPr>
        <w:pStyle w:val="ListParagraph"/>
        <w:numPr>
          <w:ilvl w:val="0"/>
          <w:numId w:val="2"/>
        </w:numPr>
        <w:spacing w:after="90" w:line="290"/>
      </w:pPr>
      <w:r>
        <w:rPr>
          <w:rFonts w:ascii="Calibri" w:cs="Calibri" w:eastAsia="Calibri" w:hAnsi="Calibri"/>
          <w:b/>
          <w:bCs/>
          <w:sz w:val="21"/>
          <w:szCs w:val="21"/>
        </w:rPr>
        <w:t xml:space="preserve">Phát triển Phần 2 từ một “sơ đồ site” thành một đặc tả nghiệp vụ (BA) đầy đủ: persona &amp; hành trình khách hàng, ma trận yêu cầu chức năng theo MoSCoW, yêu cầu phi chức năng, kiến trúc kỹ thuật, mô hình dữ liệu, khung KPI, lộ trình triển khai theo giai đoạn và sổ đăng ký rủi ro — đủ để đội kỹ thuật/đối tác triển khai lập dự toán.</w:t>
      </w:r>
    </w:p>
    <w:p>
      <w:pPr>
        <w:spacing w:after="140" w:line="300"/>
      </w:pPr>
      <w:r>
        <w:rPr>
          <w:rFonts w:ascii="Calibri" w:cs="Calibri" w:eastAsia="Calibri" w:hAnsi="Calibri"/>
          <w:i w:val="false"/>
          <w:iCs w:val="false"/>
          <w:sz w:val="21"/>
          <w:szCs w:val="21"/>
        </w:rPr>
        <w:t xml:space="preserve">Kết luận cho HĐQT: các luận điểm cạnh tranh cốt lõi (đặc biệt hoạt chất Majonoside R2 và khoảng cách công nghệ với KGC/Ilhwa) đều có căn cứ khoa học vững chắc và nên được xem là tài sản thương hiệu trung tâm. Rủi ro lớn nhất không nằm ở chiến lược định vị, mà ở (a) năng lực triển khai kỹ thuật — hạ tầng hiện tại là một site Flatsome/WooCommerce phổ thông, cách rất xa kiến trúc “Transparency Engine” được đề xuất; và (b) rủi ro uy tín truyền thông cần được xử lý song song với tái định vị thương hiệu.</w:t>
      </w:r>
    </w:p>
    <w:p>
      <w:pPr>
        <w:pStyle w:val="Heading1"/>
        <w:pBdr>
          <w:bottom w:val="single" w:color="9C7A22" w:sz="8" w:space="4"/>
        </w:pBdr>
        <w:spacing w:after="200" w:before="400"/>
      </w:pPr>
      <w:r>
        <w:rPr>
          <w:rFonts w:ascii="Georgia" w:cs="Georgia" w:eastAsia="Georgia" w:hAnsi="Georgia"/>
          <w:b/>
          <w:bCs/>
          <w:color w:val="0B2F1D"/>
          <w:sz w:val="30"/>
          <w:szCs w:val="30"/>
        </w:rPr>
        <w:t xml:space="preserve">PHẦN 0 — PHƯƠNG PHÁP LUẬN &amp; PHỤ LỤC XÁC MINH DỮ LIỆU</w:t>
      </w:r>
    </w:p>
    <w:p>
      <w:pPr>
        <w:pStyle w:val="Heading2"/>
        <w:spacing w:after="140" w:before="300"/>
      </w:pPr>
      <w:r>
        <w:rPr>
          <w:rFonts w:ascii="Georgia" w:cs="Georgia" w:eastAsia="Georgia" w:hAnsi="Georgia"/>
          <w:b/>
          <w:bCs/>
          <w:color w:val="0B2F1D"/>
          <w:sz w:val="25"/>
          <w:szCs w:val="25"/>
        </w:rPr>
        <w:t xml:space="preserve">0.1. Phạm vi và phương pháp xác minh</w:t>
      </w:r>
    </w:p>
    <w:p>
      <w:pPr>
        <w:spacing w:after="140" w:line="300"/>
      </w:pPr>
      <w:r>
        <w:rPr>
          <w:rFonts w:ascii="Calibri" w:cs="Calibri" w:eastAsia="Calibri" w:hAnsi="Calibri"/>
          <w:i w:val="false"/>
          <w:iCs w:val="false"/>
          <w:sz w:val="21"/>
          <w:szCs w:val="21"/>
        </w:rPr>
        <w:t xml:space="preserve">Các luận điểm dữ kiện (không phải luận điểm chiến lược/khuyến nghị) trong bản báo cáo gốc đã được đối chiếu với: (i) website chính thức của các đối thủ được nêu tên, (ii) tài liệu khoa học/dược học công bố về sâm Ngọc Linh (Panax vietnamensis), và (iii) báo chí trong nước về VKD Group. Những nội dung mang tính khuyến nghị chiến lược (ví dụ: nên tổ chức menu theo mục tiêu sức khỏe, nên xây Transparency Portal) là quan điểm tư vấn, không phải dữ kiện cần “đúng/sai”, nên không nằm trong phạm vi xác minh này.</w:t>
      </w:r>
    </w:p>
    <w:p>
      <w:pPr>
        <w:pStyle w:val="Heading2"/>
        <w:spacing w:after="140" w:before="300"/>
      </w:pPr>
      <w:r>
        <w:rPr>
          <w:rFonts w:ascii="Georgia" w:cs="Georgia" w:eastAsia="Georgia" w:hAnsi="Georgia"/>
          <w:b/>
          <w:bCs/>
          <w:color w:val="0B2F1D"/>
          <w:sz w:val="25"/>
          <w:szCs w:val="25"/>
        </w:rPr>
        <w:t xml:space="preserve">0.2. Bảng xác minh các luận điểm dữ kiện then chốt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300"/>
        <w:gridCol w:w="2900"/>
      </w:tblGrid>
      <w:tr>
        <w:tc>
          <w:tcPr>
            <w:tcW w:type="dxa" w:w="17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Luận điểm</w:t>
            </w:r>
          </w:p>
        </w:tc>
        <w:tc>
          <w:tcPr>
            <w:tcW w:type="dxa" w:w="42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Kết quả đối chiếu</w:t>
            </w:r>
          </w:p>
        </w:tc>
        <w:tc>
          <w:tcPr>
            <w:tcW w:type="dxa" w:w="13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Trạng thái</w:t>
            </w:r>
          </w:p>
        </w:tc>
        <w:tc>
          <w:tcPr>
            <w:tcW w:type="dxa" w:w="29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Khuyến nghị xử lý</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VKD Group khởi nguồn từ chuỗi showroom Võ Kim Đường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Đúng theo lịch sử công bố: “Tập đoàn Y Dược Sâm Ngọc Linh Võ Kim Đường” là tên khởi đầu của tập đoàn.</w:t>
            </w:r>
          </w:p>
        </w:tc>
        <w:tc>
          <w:tcPr>
            <w:tcMar>
              <w:top w:type="dxa" w:w="80"/>
              <w:left w:type="dxa" w:w="100"/>
              <w:bottom w:type="dxa" w:w="80"/>
              <w:right w:type="dxa" w:w="100"/>
            </w:tcMar>
            <w:vAlign w:val="center"/>
          </w:tcPr>
          <w:p>
            <w:pPr>
              <w:spacing w:after="40"/>
            </w:pPr>
            <w:r>
              <w:rPr>
                <w:rFonts w:ascii="Calibri" w:cs="Calibri" w:eastAsia="Calibri" w:hAnsi="Calibri"/>
                <w:b/>
                <w:bCs/>
                <w:color w:val="2E6B3E"/>
                <w:sz w:val="19"/>
                <w:szCs w:val="19"/>
              </w:rPr>
              <w:t xml:space="preserve">Đã xác minh</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Giữ nguyên trong bản kể thương hiệu (brand story).</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Majonoside R2 (MR2) là hoạt chất đặc hữu, không có ở các loài Panax khác</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Được xác nhận bởi nhiều công bố dược học độc lập (Tạp chí Dược học, VKIST): MR2 chiếm gần 50% tổng saponin, thuộc nhóm ocotillol, không tìm thấy ở nhân sâm Hàn Quốc, tam thất hay sâm Mỹ. Đây là luận điểm khoa học vững nhất trong toàn bộ hồ sơ.</w:t>
            </w:r>
          </w:p>
        </w:tc>
        <w:tc>
          <w:tcPr>
            <w:tcMar>
              <w:top w:type="dxa" w:w="80"/>
              <w:left w:type="dxa" w:w="100"/>
              <w:bottom w:type="dxa" w:w="80"/>
              <w:right w:type="dxa" w:w="100"/>
            </w:tcMar>
            <w:vAlign w:val="center"/>
          </w:tcPr>
          <w:p>
            <w:pPr>
              <w:spacing w:after="40"/>
            </w:pPr>
            <w:r>
              <w:rPr>
                <w:rFonts w:ascii="Calibri" w:cs="Calibri" w:eastAsia="Calibri" w:hAnsi="Calibri"/>
                <w:b/>
                <w:bCs/>
                <w:color w:val="2E6B3E"/>
                <w:sz w:val="19"/>
                <w:szCs w:val="19"/>
              </w:rPr>
              <w:t xml:space="preserve">Đã xác minh — luận điểm mạnh</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Nên đặt làm trục truyền thông trung tâm, có trích dẫn nguồn khoa học công khai trên Medical Hub.</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Jung Kwan Jang / KGC có hơn 120 năm lịch sử, thương hiệu hồng sâm số 1 thế giới</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Đúng, và cần cập nhật: KGC hiện truyền thông “127 năm” (tính đến 2026) và đã đổi tên thương hiệu quốc tế từ “CheongKwanJang” sang “JungKwanJang” (2023–2024). Bản gốc dùng đúng tên mới.</w:t>
            </w:r>
          </w:p>
        </w:tc>
        <w:tc>
          <w:tcPr>
            <w:tcMar>
              <w:top w:type="dxa" w:w="80"/>
              <w:left w:type="dxa" w:w="100"/>
              <w:bottom w:type="dxa" w:w="80"/>
              <w:right w:type="dxa" w:w="100"/>
            </w:tcMar>
            <w:vAlign w:val="center"/>
          </w:tcPr>
          <w:p>
            <w:pPr>
              <w:spacing w:after="40"/>
            </w:pPr>
            <w:r>
              <w:rPr>
                <w:rFonts w:ascii="Calibri" w:cs="Calibri" w:eastAsia="Calibri" w:hAnsi="Calibri"/>
                <w:b/>
                <w:bCs/>
                <w:color w:val="9C6A17"/>
                <w:sz w:val="19"/>
                <w:szCs w:val="19"/>
              </w:rPr>
              <w:t xml:space="preserve">Đã xác minh — cần cập nhật số liệu</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Cập nhật “120 năm” → “hơn 125 năm” khi trình bày lại cho hiện hành.</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Ilhwa dẫn đầu công nghệ lên men sâm (IH901), tăng hấp thụ saponin gấp 15 lần</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Đúng — xác nhận trên nhiều nguồn của Ilhwa và tài liệu dược động học độc lập: “15 times more and 4 times faster absorption”.</w:t>
            </w:r>
          </w:p>
        </w:tc>
        <w:tc>
          <w:tcPr>
            <w:tcMar>
              <w:top w:type="dxa" w:w="80"/>
              <w:left w:type="dxa" w:w="100"/>
              <w:bottom w:type="dxa" w:w="80"/>
              <w:right w:type="dxa" w:w="100"/>
            </w:tcMar>
            <w:vAlign w:val="center"/>
          </w:tcPr>
          <w:p>
            <w:pPr>
              <w:spacing w:after="40"/>
            </w:pPr>
            <w:r>
              <w:rPr>
                <w:rFonts w:ascii="Calibri" w:cs="Calibri" w:eastAsia="Calibri" w:hAnsi="Calibri"/>
                <w:b/>
                <w:bCs/>
                <w:color w:val="2E6B3E"/>
                <w:sz w:val="19"/>
                <w:szCs w:val="19"/>
              </w:rPr>
              <w:t xml:space="preserve">Đã xác minh</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Có thể dùng làm chuẩn tham chiếu khi VKD xây lộ trình R&amp;D công nghệ sinh học riêng.</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Website chính thức của Prince of Peace là princeofpeace.com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Không chính xác ở thời điểm hiện tại: website đang hoạt động của Prince of Peace Enterprises là popus.com; tên miền princeofpeace.com không phải kênh chính hiện dùng.</w:t>
            </w:r>
          </w:p>
        </w:tc>
        <w:tc>
          <w:tcPr>
            <w:tcMar>
              <w:top w:type="dxa" w:w="80"/>
              <w:left w:type="dxa" w:w="100"/>
              <w:bottom w:type="dxa" w:w="80"/>
              <w:right w:type="dxa" w:w="100"/>
            </w:tcMar>
            <w:vAlign w:val="center"/>
          </w:tcPr>
          <w:p>
            <w:pPr>
              <w:spacing w:after="40"/>
            </w:pPr>
            <w:r>
              <w:rPr>
                <w:rFonts w:ascii="Calibri" w:cs="Calibri" w:eastAsia="Calibri" w:hAnsi="Calibri"/>
                <w:b/>
                <w:bCs/>
                <w:color w:val="B23A2E"/>
                <w:sz w:val="19"/>
                <w:szCs w:val="19"/>
              </w:rPr>
              <w:t xml:space="preserve">Cần đính chính</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Sửa URL tham chiếu trong hồ sơ đối thủ trước khi trình bày chính thức.</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Bing Han International — mô hình sinh thái khép kín Canada/Đài Loan</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Đúng — binghan.com xác nhận mô hình phân phối toàn cầu, sáng lập tại Đài Loan, mở rộng qua Canada.</w:t>
            </w:r>
          </w:p>
        </w:tc>
        <w:tc>
          <w:tcPr>
            <w:tcMar>
              <w:top w:type="dxa" w:w="80"/>
              <w:left w:type="dxa" w:w="100"/>
              <w:bottom w:type="dxa" w:w="80"/>
              <w:right w:type="dxa" w:w="100"/>
            </w:tcMar>
            <w:vAlign w:val="center"/>
          </w:tcPr>
          <w:p>
            <w:pPr>
              <w:spacing w:after="40"/>
            </w:pPr>
            <w:r>
              <w:rPr>
                <w:rFonts w:ascii="Calibri" w:cs="Calibri" w:eastAsia="Calibri" w:hAnsi="Calibri"/>
                <w:b/>
                <w:bCs/>
                <w:color w:val="2E6B3E"/>
                <w:sz w:val="19"/>
                <w:szCs w:val="19"/>
              </w:rPr>
              <w:t xml:space="preserve">Đã xác minh</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Không cần điều chỉnh.</w:t>
            </w:r>
          </w:p>
        </w:tc>
      </w:tr>
    </w:tbl>
    <w:p>
      <w:pPr>
        <w:pBdr>
          <w:top w:val="single" w:color="F6F5F1" w:sz="1" w:space="1"/>
          <w:bottom w:val="single" w:color="F6F5F1" w:sz="1" w:space="1"/>
          <w:left w:val="single" w:color="9C7A22" w:sz="16" w:space="8"/>
          <w:right w:val="single" w:color="F6F5F1" w:sz="1" w:space="1"/>
        </w:pBdr>
        <w:shd w:fill="F6F5F1" w:val="clear"/>
        <w:spacing w:after="200" w:before="80"/>
      </w:pPr>
      <w:r>
        <w:rPr>
          <w:rFonts w:ascii="Calibri" w:cs="Calibri" w:eastAsia="Calibri" w:hAnsi="Calibri"/>
          <w:i/>
          <w:iCs/>
          <w:color w:val="3A3A3A"/>
          <w:sz w:val="20"/>
          <w:szCs w:val="20"/>
        </w:rPr>
        <w:t xml:space="preserve">Các đối thủ Việt Nam còn lại (Kon Tum K5, Tu Mơ Rông, Quảng Nam Ginseng, Trà Linh 88, Onplaza, Hoàng Gia, MHG, Tam Soa, Linh Chi Nông Lâm) và các đối thủ khu vực Trung Đông/Đông Nam Á không có sai lệch dữ kiện đáng kể được phát hiện, nhưng chưa được kiểm tra sâu ở cấp độ chỉ số kinh doanh (doanh thu, thị phần) — các con số này không được nêu trong bản gốc nên không có gì để đối chiếu.</w:t>
      </w:r>
    </w:p>
    <w:p>
      <w:pPr>
        <w:pStyle w:val="Heading2"/>
        <w:spacing w:after="140" w:before="300"/>
      </w:pPr>
      <w:r>
        <w:rPr>
          <w:rFonts w:ascii="Georgia" w:cs="Georgia" w:eastAsia="Georgia" w:hAnsi="Georgia"/>
          <w:b/>
          <w:bCs/>
          <w:color w:val="0B2F1D"/>
          <w:sz w:val="25"/>
          <w:szCs w:val="25"/>
        </w:rPr>
        <w:t xml:space="preserve">0.3. Rủi ro cần công khai với HĐQT: tính minh bạch vùng trồng</w:t>
      </w:r>
    </w:p>
    <w:p>
      <w:pPr>
        <w:spacing w:after="140" w:line="300"/>
      </w:pPr>
      <w:r>
        <w:rPr>
          <w:rFonts w:ascii="Calibri" w:cs="Calibri" w:eastAsia="Calibri" w:hAnsi="Calibri"/>
          <w:i w:val="false"/>
          <w:iCs w:val="false"/>
          <w:sz w:val="21"/>
          <w:szCs w:val="21"/>
        </w:rPr>
        <w:t xml:space="preserve">Trong quá trình xác minh, xuất hiện các bài báo (báo Kon Tum, 2023–2024) phản ánh việc một thành viên trong hệ sinh thái VKD Group từng công bố sở hữu vùng trồng quy mô lớn tại Tu Mơ Rông, trong khi chính quyền địa phương xác nhận diện tích thực tế triển khai nhỏ hơn nhiều so với công bố ban đầu, và có kiến nghị rà soát hiệu lực giấy xác nhận vùng trồng liên quan. Đây là thông tin công khai, có nguồn báo chí trong nước, không phải suy đoán.</w:t>
      </w:r>
    </w:p>
    <w:p>
      <w:pPr>
        <w:pBdr>
          <w:top w:val="single" w:color="F6F5F1" w:sz="1" w:space="1"/>
          <w:bottom w:val="single" w:color="F6F5F1" w:sz="1" w:space="1"/>
          <w:left w:val="single" w:color="9C7A22" w:sz="16" w:space="8"/>
          <w:right w:val="single" w:color="F6F5F1" w:sz="1" w:space="1"/>
        </w:pBdr>
        <w:shd w:fill="F6F5F1" w:val="clear"/>
        <w:spacing w:after="200" w:before="80"/>
      </w:pPr>
      <w:r>
        <w:rPr>
          <w:rFonts w:ascii="Calibri" w:cs="Calibri" w:eastAsia="Calibri" w:hAnsi="Calibri"/>
          <w:i/>
          <w:iCs/>
          <w:color w:val="3A3A3A"/>
          <w:sz w:val="20"/>
          <w:szCs w:val="20"/>
        </w:rPr>
        <w:t xml:space="preserve">Ý nghĩa đối với chiến lược website: toàn bộ Trụ cột 1 (Transparency Portal / QR truy xuất nguồn gốc) mà bản gốc đề xuất — nếu triển khai đúng và minh bạch tuyệt đối — chính là công cụ hiệu quả nhất để hoá giải loại rủi ro uy tín này. Ngược lại, nếu triển khai hình thức (QR chỉ dẫn đến trang marketing thay vì dữ liệu kiểm định độc lập, có ngày tháng, có bên thứ ba xác nhận), rủi ro truyền thông sẽ tăng lên vì tạo cảm giác “minh bạch giả”. Khuyến nghị: gắn Trụ cột 1 với một đơn vị kiểm định độc lập bên thứ ba (ví dụ trung tâm kiểm nghiệm dược liệu được Bộ Y tế công nhận) và công bố rõ phạm vi vùng trồng thực tế, không phóng đại diện tích.</w:t>
      </w:r>
    </w:p>
    <w:p>
      <w:pPr>
        <w:pStyle w:val="Heading1"/>
        <w:pBdr>
          <w:bottom w:val="single" w:color="9C7A22" w:sz="8" w:space="4"/>
        </w:pBdr>
        <w:spacing w:after="200" w:before="400"/>
      </w:pPr>
      <w:r>
        <w:rPr>
          <w:rFonts w:ascii="Georgia" w:cs="Georgia" w:eastAsia="Georgia" w:hAnsi="Georgia"/>
          <w:b/>
          <w:bCs/>
          <w:color w:val="0B2F1D"/>
          <w:sz w:val="30"/>
          <w:szCs w:val="30"/>
        </w:rPr>
        <w:t xml:space="preserve">PHẦN 1 — CHIẾN LƯỢC ĐỊNH VỊ TOÀN CẦU &amp; TÌNH BÁO CẠNH TRANH</w:t>
      </w:r>
    </w:p>
    <w:p>
      <w:pPr>
        <w:pStyle w:val="Heading2"/>
        <w:spacing w:after="140" w:before="300"/>
      </w:pPr>
      <w:r>
        <w:rPr>
          <w:rFonts w:ascii="Georgia" w:cs="Georgia" w:eastAsia="Georgia" w:hAnsi="Georgia"/>
          <w:b/>
          <w:bCs/>
          <w:color w:val="0B2F1D"/>
          <w:sz w:val="25"/>
          <w:szCs w:val="25"/>
        </w:rPr>
        <w:t xml:space="preserve">I. Định vị thương hiệu, màu sắc, slogan &amp; rủi ro xung đột văn hoá quốc tế</w:t>
      </w:r>
    </w:p>
    <w:p>
      <w:pPr>
        <w:pStyle w:val="Heading3"/>
        <w:spacing w:after="100" w:before="220"/>
      </w:pPr>
      <w:r>
        <w:rPr>
          <w:rFonts w:ascii="Calibri" w:cs="Calibri" w:eastAsia="Calibri" w:hAnsi="Calibri"/>
          <w:b/>
          <w:bCs/>
          <w:color w:val="9C7A22"/>
          <w:sz w:val="22"/>
          <w:szCs w:val="22"/>
        </w:rPr>
        <w:t xml:space="preserve">1. Tên thương hiệu — VKD Group (Võ Kim Đường)</w:t>
      </w:r>
    </w:p>
    <w:p>
      <w:pPr>
        <w:pStyle w:val="ListParagraph"/>
        <w:numPr>
          <w:ilvl w:val="0"/>
          <w:numId w:val="2"/>
        </w:numPr>
        <w:spacing w:after="90" w:line="290"/>
      </w:pPr>
      <w:r>
        <w:rPr>
          <w:rFonts w:ascii="Calibri" w:cs="Calibri" w:eastAsia="Calibri" w:hAnsi="Calibri"/>
          <w:b w:val="false"/>
          <w:bCs w:val="false"/>
          <w:sz w:val="21"/>
          <w:szCs w:val="21"/>
        </w:rPr>
        <w:t xml:space="preserve">Điểm mạnh: dấu ấn lịch sử - gia tộc, tạo cam kết cá nhân cao về chất lượng.</w:t>
      </w:r>
    </w:p>
    <w:p>
      <w:pPr>
        <w:pStyle w:val="ListParagraph"/>
        <w:numPr>
          <w:ilvl w:val="0"/>
          <w:numId w:val="2"/>
        </w:numPr>
        <w:spacing w:after="90" w:line="290"/>
      </w:pPr>
      <w:r>
        <w:rPr>
          <w:rFonts w:ascii="Calibri" w:cs="Calibri" w:eastAsia="Calibri" w:hAnsi="Calibri"/>
          <w:b w:val="false"/>
          <w:bCs w:val="false"/>
          <w:sz w:val="21"/>
          <w:szCs w:val="21"/>
        </w:rPr>
        <w:t xml:space="preserve">Rủi ro quốc tế hoá: phiên âm La-tinh “Vo Kim Duong” khó phát âm với khách Âu–Mỹ và Đông Á; từ “Đường” (Duong) không tối ưu SEO tiếng Anh. Khuyến nghị đẩy định vị “VKD — Vietnam Ginseng Medical Group” lên trước tên gia tộc ở các thị trường quốc tế, giữ “Võ Kim Đường” như tên di sản (heritage name) ở thị trường nội địa.</w:t>
      </w:r>
    </w:p>
    <w:p>
      <w:pPr>
        <w:pStyle w:val="Heading3"/>
        <w:spacing w:after="100" w:before="220"/>
      </w:pPr>
      <w:r>
        <w:rPr>
          <w:rFonts w:ascii="Calibri" w:cs="Calibri" w:eastAsia="Calibri" w:hAnsi="Calibri"/>
          <w:b/>
          <w:bCs/>
          <w:color w:val="9C7A22"/>
          <w:sz w:val="22"/>
          <w:szCs w:val="22"/>
        </w:rPr>
        <w:t xml:space="preserve">2. Slogan hiện tại (“Bảo vật đại ngàn” / “Quốc bảo Việt Nam”)</w:t>
      </w:r>
    </w:p>
    <w:p>
      <w:pPr>
        <w:spacing w:after="140" w:line="300"/>
      </w:pPr>
      <w:r>
        <w:rPr>
          <w:rFonts w:ascii="Calibri" w:cs="Calibri" w:eastAsia="Calibri" w:hAnsi="Calibri"/>
          <w:i w:val="false"/>
          <w:iCs w:val="false"/>
          <w:sz w:val="21"/>
          <w:szCs w:val="21"/>
        </w:rPr>
        <w:t xml:space="preserve">Rủi ro: lạm dụng ngôn ngữ cảm tính. Khách hàng cao cấp quốc tế mua theo hiệu năng sinh học định lượng được, không mua theo tự hào quốc gia của người khác. Khuyến nghị: giữ “Quốc bảo Việt Nam” cho truyền thông nội địa/PR văn hoá, nhưng thay bằng thông điệp định lượng (“12% MR2 Saponin — hoạt chất độc quyền của sâm Việt Nam”) ở các trang sản phẩm và thị trường xuất khẩu.</w:t>
      </w:r>
    </w:p>
    <w:p>
      <w:pPr>
        <w:pStyle w:val="Heading3"/>
        <w:spacing w:after="100" w:before="220"/>
      </w:pPr>
      <w:r>
        <w:rPr>
          <w:rFonts w:ascii="Calibri" w:cs="Calibri" w:eastAsia="Calibri" w:hAnsi="Calibri"/>
          <w:b/>
          <w:bCs/>
          <w:color w:val="9C7A22"/>
          <w:sz w:val="22"/>
          <w:szCs w:val="22"/>
        </w:rPr>
        <w:t xml:space="preserve">3. Màu sắc &amp; nhận diện (theme Flatsome phổ thông hiện tại)</w:t>
      </w:r>
    </w:p>
    <w:p>
      <w:pPr>
        <w:spacing w:after="140" w:line="300"/>
      </w:pPr>
      <w:r>
        <w:rPr>
          <w:rFonts w:ascii="Calibri" w:cs="Calibri" w:eastAsia="Calibri" w:hAnsi="Calibri"/>
          <w:i w:val="false"/>
          <w:iCs w:val="false"/>
          <w:sz w:val="21"/>
          <w:szCs w:val="21"/>
        </w:rPr>
        <w:t xml:space="preserve">Hạn chế: theme thương mại điện tử phổ thông khiến sâm Ngọc Linh — có giá trị kinh tế/sinh học cao hơn hồng sâm Hàn Quốc — bị đánh đồng hình ảnh với sàn thương mại tầm trung. Bộ nhận diện đề xuất: Xanh đại ngàn #0B2F1D + Vàng gold #D4AF37 trên nền trắng/kem, font tiêu đề có chân (Playfair Display), font thân bài Inter — theo trường phái Quiet Luxury.</w:t>
      </w:r>
    </w:p>
    <w:p>
      <w:pPr>
        <w:pStyle w:val="Heading2"/>
        <w:spacing w:after="140" w:before="300"/>
      </w:pPr>
      <w:r>
        <w:rPr>
          <w:rFonts w:ascii="Georgia" w:cs="Georgia" w:eastAsia="Georgia" w:hAnsi="Georgia"/>
          <w:b/>
          <w:bCs/>
          <w:color w:val="0B2F1D"/>
          <w:sz w:val="25"/>
          <w:szCs w:val="25"/>
        </w:rPr>
        <w:t xml:space="preserve">II. Ma trận SWOT chiến lược</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Nhóm</w:t>
            </w:r>
          </w:p>
        </w:tc>
        <w:tc>
          <w:tcPr>
            <w:tcW w:type="dxa" w:w="61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Nội dung</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Strengths</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Chuỗi showroom Võ Kim Đường phủ rộng; định hướng Y Dược rõ ràng; làm chủ công nghệ sinh học &amp; danh mục đa dạng (PanaxX, Micellar, rượu sâm); sở hữu hoạt chất đặc hữu Majonoside R2 (MR2) — đã xác minh khoa học.</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Weaknesses</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Hạ tầng số hoá chứng thực (Transparency Engine) chưa có; nội dung thiên tin tức/PR, thiếu báo cáo lâm sàng; phân loại sản phẩm theo thuộc tính vật lý thay vì mục tiêu sức khỏe; rủi ro uy tín truyền thông về minh bạch vùng trồng cần xử lý song song (xem 0.3).</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Opportunities</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Thị trường sâm toàn cầu dịch chuyển từ “bồi bổ chung chung” sang “Longevity &amp; Biohacking”; giới thượng lưu sẵn sàng chi trả cao cho sản phẩm có hàm lượng saponin định lượng, kiểm chứng được.</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Threats</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Sâm giả/sâm lậu phá vỡ niềm tin thị trường; KGC (Hàn Quốc) đã chiếm lĩnh hệ thống phân phối và tâm trí người tiêu dùng toàn cầu; rủi ro uy tín nội tại nếu không kiểm soát chặt thông tin vùng trồng.</w:t>
            </w:r>
          </w:p>
        </w:tc>
      </w:tr>
    </w:tbl>
    <w:p>
      <w:pPr>
        <w:pStyle w:val="Heading2"/>
        <w:spacing w:after="140" w:before="300"/>
      </w:pPr>
      <w:r>
        <w:rPr>
          <w:rFonts w:ascii="Georgia" w:cs="Georgia" w:eastAsia="Georgia" w:hAnsi="Georgia"/>
          <w:b/>
          <w:bCs/>
          <w:color w:val="0B2F1D"/>
          <w:sz w:val="25"/>
          <w:szCs w:val="25"/>
        </w:rPr>
        <w:t xml:space="preserve">III. Mổ xẻ cạnh tranh: đối thủ trong &amp; ngoài nước</w:t>
      </w:r>
    </w:p>
    <w:p>
      <w:pPr>
        <w:pStyle w:val="Heading3"/>
        <w:spacing w:after="100" w:before="220"/>
      </w:pPr>
      <w:r>
        <w:rPr>
          <w:rFonts w:ascii="Calibri" w:cs="Calibri" w:eastAsia="Calibri" w:hAnsi="Calibri"/>
          <w:b/>
          <w:bCs/>
          <w:color w:val="9C7A22"/>
          <w:sz w:val="22"/>
          <w:szCs w:val="22"/>
        </w:rPr>
        <w:t xml:space="preserve">Top 10 website sâm hàng đầu Việt Nam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3300"/>
      </w:tblGrid>
      <w:tr>
        <w:tc>
          <w:tcPr>
            <w:tcW w:type="dxa" w:w="4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w:t>
            </w:r>
          </w:p>
        </w:tc>
        <w:tc>
          <w:tcPr>
            <w:tcW w:type="dxa" w:w="22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Đơn vị</w:t>
            </w:r>
          </w:p>
        </w:tc>
        <w:tc>
          <w:tcPr>
            <w:tcW w:type="dxa" w:w="26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Website</w:t>
            </w:r>
          </w:p>
        </w:tc>
        <w:tc>
          <w:tcPr>
            <w:tcW w:type="dxa" w:w="33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Ghi chú cạnh tranh</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1</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VKD Group (site cũ)</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samngoclinhvkdgroup.com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Legacy site — đối tượng nâng cấp của báo cáo này.</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2</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Sâm Ngọc Linh Kon Tum K5</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samngoclinhkontum.com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Vùng trồng lâu đời, nhận diện đồng bộ; UX vẫn nặng e-Commerce truyền thống.</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3</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Sâm Ngọc Linh Tu Mơ Rông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samngoclinhtumorong.com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Mạnh TPCN chế biến sâu; bao bì &amp; phân khúc giá chưa tối ưu quốc tế.</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4</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Quảng Nam Ginseng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samngoclinhquangnam.com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Bảo chứng nhà nước; UX/UI lạc hậu, tải trang chậm.</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Trà Linh 88</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samngoclinh88.com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Khai thác trực tiếp Nam Trà My; quy mô nhỏ, thiếu chứng thực số.</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6</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Onplaza Việt Pháp</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onplaza.vn</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SEO mạnh; giao diện rối, chưa đạt chuẩn Quiet Luxury.</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7</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Sâm Ngọc Linh Hoàng Gia</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samngoclinhhoanggia.com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Mạnh quà tặng doanh nghiệp; thiếu chiều sâu khoa học.</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Dược liệu MHG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mhg.vn</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Nông nghiệp công nghệ cao; định vị thương hiệu phân tán.</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9</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Tam Soa</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tamsoa.com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Thảo dược tổng hợp; thương hiệu Ngọc Linh bị pha loãng.</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10</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Linh Chi Nông Lâm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linhchinonglam.com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Bảo chứng ĐH Nông Lâm; thiết kế thiên học thuật, thiếu trải nghiệm thương mại.</w:t>
            </w:r>
          </w:p>
        </w:tc>
      </w:tr>
    </w:tbl>
    <w:p>
      <w:pPr>
        <w:pStyle w:val="Heading3"/>
        <w:spacing w:after="100" w:before="220"/>
      </w:pPr>
      <w:r>
        <w:rPr>
          <w:rFonts w:ascii="Calibri" w:cs="Calibri" w:eastAsia="Calibri" w:hAnsi="Calibri"/>
          <w:b/>
          <w:bCs/>
          <w:color w:val="9C7A22"/>
          <w:sz w:val="22"/>
          <w:szCs w:val="22"/>
        </w:rPr>
        <w:t xml:space="preserve">Top 5 thương hiệu sâm hàng đầu thế giới (đã hiệu chỉnh URL)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3300"/>
      </w:tblGrid>
      <w:tr>
        <w:tc>
          <w:tcPr>
            <w:tcW w:type="dxa" w:w="4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w:t>
            </w:r>
          </w:p>
        </w:tc>
        <w:tc>
          <w:tcPr>
            <w:tcW w:type="dxa" w:w="22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Đơn vị</w:t>
            </w:r>
          </w:p>
        </w:tc>
        <w:tc>
          <w:tcPr>
            <w:tcW w:type="dxa" w:w="26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Website</w:t>
            </w:r>
          </w:p>
        </w:tc>
        <w:tc>
          <w:tcPr>
            <w:tcW w:type="dxa" w:w="33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Ghi chú cạnh tranh</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1</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Jung Kwan Jang / KGC (Hàn Quốc)</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jungkwanjang.us · kgcshop.com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Hồng sâm #1 thế giới, &gt;125 năm lịch sử; kiến trúc menu Benefit-Driven, có app Care Now.</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2</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Prince of Peace (Mỹ)</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popus.com (đã đính chính từ princeofpeace.com)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Dẫn đầu American Ginseng tại Bắc Mỹ; chuỗi phân phối bán lẻ lớn.</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3</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Ilhwa (Hàn Quốc)</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ilhwa.co.kr · ilhwa-usa.com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Công nghệ lên men độc quyền IH901 — tăng hấp thụ saponin 15 lần, đã kiểm chứng.</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4</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Bing Han International (Đài Loan/Canada)</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binghan.com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Mô hình sinh thái khép kín, xử lý nhiệt độ thấp giữ hoạt chất.</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Eu Yan Sang (Singapore)</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euyansang.com</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Chuỗi bán lẻ thảo dược thượng hạng lớn nhất Đông Nam Á; UI/UX hiện đại kết hợp truyền thống Đông Y.</w:t>
            </w:r>
          </w:p>
        </w:tc>
      </w:tr>
    </w:tbl>
    <w:p>
      <w:pPr>
        <w:pBdr>
          <w:top w:val="single" w:color="F6F5F1" w:sz="1" w:space="1"/>
          <w:bottom w:val="single" w:color="F6F5F1" w:sz="1" w:space="1"/>
          <w:left w:val="single" w:color="9C7A22" w:sz="16" w:space="8"/>
          <w:right w:val="single" w:color="F6F5F1" w:sz="1" w:space="1"/>
        </w:pBdr>
        <w:shd w:fill="F6F5F1" w:val="clear"/>
        <w:spacing w:after="200" w:before="80"/>
      </w:pPr>
      <w:r>
        <w:rPr>
          <w:rFonts w:ascii="Calibri" w:cs="Calibri" w:eastAsia="Calibri" w:hAnsi="Calibri"/>
          <w:i/>
          <w:iCs/>
          <w:color w:val="3A3A3A"/>
          <w:sz w:val="20"/>
          <w:szCs w:val="20"/>
        </w:rPr>
        <w:t xml:space="preserve">Danh sách đầy đủ 30 đối thủ theo khu vực (Hàn Quốc, Trung Quốc/Đài Loan, Nhật Bản, Đông Nam Á, Trung Đông, Châu Âu/Mỹ) trong bản gốc được giữ nguyên cấu trúc vùng chiến lược; các bài học theo từng khu vực (ví dụ Tong Ren Tang → Medical Hub, Suntory Wellness → khoa học kiểm định khắt khe) vẫn là những tham chiếu hợp lệ và không phát hiện sai lệch dữ kiện trọng yếu.</w:t>
      </w:r>
    </w:p>
    <w:p>
      <w:pPr>
        <w:pStyle w:val="Heading2"/>
        <w:spacing w:after="140" w:before="300"/>
      </w:pPr>
      <w:r>
        <w:rPr>
          <w:rFonts w:ascii="Georgia" w:cs="Georgia" w:eastAsia="Georgia" w:hAnsi="Georgia"/>
          <w:b/>
          <w:bCs/>
          <w:color w:val="0B2F1D"/>
          <w:sz w:val="25"/>
          <w:szCs w:val="25"/>
        </w:rPr>
        <w:t xml:space="preserve">IV. Bốn Insight chiến lược Top 5% (giữ nguyên định hướng, đã rà soát)</w:t>
      </w:r>
    </w:p>
    <w:p>
      <w:pPr>
        <w:pStyle w:val="Heading3"/>
        <w:spacing w:after="100" w:before="220"/>
      </w:pPr>
      <w:r>
        <w:rPr>
          <w:rFonts w:ascii="Calibri" w:cs="Calibri" w:eastAsia="Calibri" w:hAnsi="Calibri"/>
          <w:b/>
          <w:bCs/>
          <w:color w:val="9C7A22"/>
          <w:sz w:val="22"/>
          <w:szCs w:val="22"/>
        </w:rPr>
        <w:t xml:space="preserve">Insight 1 — Từ “Bán sản phẩm” sang “Bán hoạt chất sinh học được chứng thực”</w:t>
      </w:r>
    </w:p>
    <w:p>
      <w:pPr>
        <w:spacing w:after="140" w:line="300"/>
      </w:pPr>
      <w:r>
        <w:rPr>
          <w:rFonts w:ascii="Calibri" w:cs="Calibri" w:eastAsia="Calibri" w:hAnsi="Calibri"/>
          <w:i w:val="false"/>
          <w:iCs w:val="false"/>
          <w:sz w:val="21"/>
          <w:szCs w:val="21"/>
        </w:rPr>
        <w:t xml:space="preserve">Cổng tra cứu minh bạch số (Batch ID / QR code) dẫn tới trang cá nhân hoá của từng lô hàng: giấy kiểm định MR2 độc lập, toạ độ vườn trồng chuẩn GACP-WHO, ngày thu hoạch. Đây là luận điểm có nền tảng khoa học vững (xem 0.2) và đồng thời là công cụ hoá giải rủi ro uy tín (xem 0.3) — nên được ưu tiên triển khai thật, không hình thức.</w:t>
      </w:r>
    </w:p>
    <w:p>
      <w:pPr>
        <w:pStyle w:val="Heading3"/>
        <w:spacing w:after="100" w:before="220"/>
      </w:pPr>
      <w:r>
        <w:rPr>
          <w:rFonts w:ascii="Calibri" w:cs="Calibri" w:eastAsia="Calibri" w:hAnsi="Calibri"/>
          <w:b/>
          <w:bCs/>
          <w:color w:val="9C7A22"/>
          <w:sz w:val="22"/>
          <w:szCs w:val="22"/>
        </w:rPr>
        <w:t xml:space="preserve">Insight 2 — Kiến trúc Cá nhân hoá theo mục tiêu sức khỏe (Benefit-Driven Architecture)</w:t>
      </w:r>
    </w:p>
    <w:p>
      <w:pPr>
        <w:spacing w:after="140" w:line="300"/>
      </w:pPr>
      <w:r>
        <w:rPr>
          <w:rFonts w:ascii="Calibri" w:cs="Calibri" w:eastAsia="Calibri" w:hAnsi="Calibri"/>
          <w:i w:val="false"/>
          <w:iCs w:val="false"/>
          <w:sz w:val="21"/>
          <w:szCs w:val="21"/>
        </w:rPr>
        <w:t xml:space="preserve">Tái cấu trúc danh mục từ “theo định dạng vật lý” sang “theo mục tiêu sức khỏe + đối tượng”, theo mô hình jungkwanjang.us. Mỗi sản phẩm hiển thị hàm lượng hoạt chất định lượng (ví dụ: “Contains 12% MR2 Saponin”).</w:t>
      </w:r>
    </w:p>
    <w:p>
      <w:pPr>
        <w:pStyle w:val="Heading3"/>
        <w:spacing w:after="100" w:before="220"/>
      </w:pPr>
      <w:r>
        <w:rPr>
          <w:rFonts w:ascii="Calibri" w:cs="Calibri" w:eastAsia="Calibri" w:hAnsi="Calibri"/>
          <w:b/>
          <w:bCs/>
          <w:color w:val="9C7A22"/>
          <w:sz w:val="22"/>
          <w:szCs w:val="22"/>
        </w:rPr>
        <w:t xml:space="preserve">Insight 3 — Medical Hub: chuyển Content từ Tin tức sang Khoa học lâm sàng</w:t>
      </w:r>
    </w:p>
    <w:p>
      <w:pPr>
        <w:spacing w:after="140" w:line="300"/>
      </w:pPr>
      <w:r>
        <w:rPr>
          <w:rFonts w:ascii="Calibri" w:cs="Calibri" w:eastAsia="Calibri" w:hAnsi="Calibri"/>
          <w:i w:val="false"/>
          <w:iCs w:val="false"/>
          <w:sz w:val="21"/>
          <w:szCs w:val="21"/>
        </w:rPr>
        <w:t xml:space="preserve">Số hoá công trình nghiên cứu VKD dưới dạng Infographic, bài viết chuẩn y khoa về cơ chế 52 loại saponin, kèm huy hiệu chứng thực Hội đồng Y khoa VKD. Mục tiêu: nâng Domain Authority y khoa → cải thiện SEO quốc tế → củng cố định vị “Tập đoàn Y Dược”.</w:t>
      </w:r>
    </w:p>
    <w:p>
      <w:pPr>
        <w:pStyle w:val="Heading3"/>
        <w:spacing w:after="100" w:before="220"/>
      </w:pPr>
      <w:r>
        <w:rPr>
          <w:rFonts w:ascii="Calibri" w:cs="Calibri" w:eastAsia="Calibri" w:hAnsi="Calibri"/>
          <w:b/>
          <w:bCs/>
          <w:color w:val="9C7A22"/>
          <w:sz w:val="22"/>
          <w:szCs w:val="22"/>
        </w:rPr>
        <w:t xml:space="preserve">Insight 4 — Thượng lưu hoá UI/UX &amp; Bản địa hoá đa quốc gia</w:t>
      </w:r>
    </w:p>
    <w:p>
      <w:pPr>
        <w:pStyle w:val="ListParagraph"/>
        <w:numPr>
          <w:ilvl w:val="0"/>
          <w:numId w:val="2"/>
        </w:numPr>
        <w:spacing w:after="90" w:line="290"/>
      </w:pPr>
      <w:r>
        <w:rPr>
          <w:rFonts w:ascii="Calibri" w:cs="Calibri" w:eastAsia="Calibri" w:hAnsi="Calibri"/>
          <w:b w:val="false"/>
          <w:bCs w:val="false"/>
          <w:sz w:val="21"/>
          <w:szCs w:val="21"/>
        </w:rPr>
        <w:t xml:space="preserve">Tách biệt giao diện B2C (bán lẻ) và B2B Global (đối tác/xuất khẩu).</w:t>
      </w:r>
    </w:p>
    <w:p>
      <w:pPr>
        <w:pStyle w:val="ListParagraph"/>
        <w:numPr>
          <w:ilvl w:val="0"/>
          <w:numId w:val="2"/>
        </w:numPr>
        <w:spacing w:after="90" w:line="290"/>
      </w:pPr>
      <w:r>
        <w:rPr>
          <w:rFonts w:ascii="Calibri" w:cs="Calibri" w:eastAsia="Calibri" w:hAnsi="Calibri"/>
          <w:b w:val="false"/>
          <w:bCs w:val="false"/>
          <w:sz w:val="21"/>
          <w:szCs w:val="21"/>
        </w:rPr>
        <w:t xml:space="preserve">Đa ngôn ngữ EN/VI/ZH/JA/FR do chuyên gia y tế bản địa dịch/kiểm duyệt.</w:t>
      </w:r>
    </w:p>
    <w:p>
      <w:pPr>
        <w:pStyle w:val="ListParagraph"/>
        <w:numPr>
          <w:ilvl w:val="0"/>
          <w:numId w:val="2"/>
        </w:numPr>
        <w:spacing w:after="90" w:line="290"/>
      </w:pPr>
      <w:r>
        <w:rPr>
          <w:rFonts w:ascii="Calibri" w:cs="Calibri" w:eastAsia="Calibri" w:hAnsi="Calibri"/>
          <w:b w:val="false"/>
          <w:bCs w:val="false"/>
          <w:sz w:val="21"/>
          <w:szCs w:val="21"/>
        </w:rPr>
        <w:t xml:space="preserve">CDN toàn cầu để đảm bảo tốc độ tải cho khách hàng cao cấp quốc tế.</w:t>
      </w:r>
    </w:p>
    <w:p>
      <w:r>
        <w:br w:type="page"/>
      </w:r>
    </w:p>
    <w:p>
      <w:pPr>
        <w:pStyle w:val="Heading1"/>
        <w:pBdr>
          <w:bottom w:val="single" w:color="9C7A22" w:sz="8" w:space="4"/>
        </w:pBdr>
        <w:spacing w:after="200" w:before="400"/>
      </w:pPr>
      <w:r>
        <w:rPr>
          <w:rFonts w:ascii="Georgia" w:cs="Georgia" w:eastAsia="Georgia" w:hAnsi="Georgia"/>
          <w:b/>
          <w:bCs/>
          <w:color w:val="0B2F1D"/>
          <w:sz w:val="30"/>
          <w:szCs w:val="30"/>
        </w:rPr>
        <w:t xml:space="preserve">PHẦN 2 — ĐẶC TẢ NGHIỆP VỤ &amp; KIẾN TRÚC HỆ THỐNG (BUSINESS ANALYSIS &amp; SYSTEM ARCHITECTURE)</w:t>
      </w:r>
    </w:p>
    <w:p>
      <w:pPr>
        <w:spacing w:after="140" w:line="300"/>
      </w:pPr>
      <w:r>
        <w:rPr>
          <w:rFonts w:ascii="Calibri" w:cs="Calibri" w:eastAsia="Calibri" w:hAnsi="Calibri"/>
          <w:i w:val="false"/>
          <w:iCs w:val="false"/>
          <w:sz w:val="21"/>
          <w:szCs w:val="21"/>
        </w:rPr>
        <w:t xml:space="preserve">Phần này phát triển sitemap gốc thành một đặc tả đủ chi tiết để trình bày cho đội kỹ thuật, agency, hoặc để lập RFP (Request for Proposal) gửi các nhà thầu triển khai.</w:t>
      </w:r>
    </w:p>
    <w:p>
      <w:pPr>
        <w:pStyle w:val="Heading2"/>
        <w:spacing w:after="140" w:before="300"/>
      </w:pPr>
      <w:r>
        <w:rPr>
          <w:rFonts w:ascii="Georgia" w:cs="Georgia" w:eastAsia="Georgia" w:hAnsi="Georgia"/>
          <w:b/>
          <w:bCs/>
          <w:color w:val="0B2F1D"/>
          <w:sz w:val="25"/>
          <w:szCs w:val="25"/>
        </w:rPr>
        <w:t xml:space="preserve">I. Đánh giá hiện trạng của chuyên gia BA</w:t>
      </w:r>
    </w:p>
    <w:p>
      <w:pPr>
        <w:spacing w:after="140" w:line="300"/>
      </w:pPr>
      <w:r>
        <w:rPr>
          <w:rFonts w:ascii="Calibri" w:cs="Calibri" w:eastAsia="Calibri" w:hAnsi="Calibri"/>
          <w:i w:val="false"/>
          <w:iCs w:val="false"/>
          <w:sz w:val="21"/>
          <w:szCs w:val="21"/>
        </w:rPr>
        <w:t xml:space="preserve">Hệ thống các bản mô tả trước đây mới dừng ở “Vỏ giao diện” (UI Showcase). Để website VKD Group vận hành như một cỗ máy thương mại điện tử cấp doanh nghiệp theo chuẩn KGC, cần bổ sung bắt buộc: hạ tầng Backend Logic, Quản trị Đơn hàng (OMS), CRM, và Engine Mua hàng định kỳ (Autoship). Các phần II–IX dưới đây cụ thể hoá yêu cầu đó.</w:t>
      </w:r>
    </w:p>
    <w:p>
      <w:pPr>
        <w:pStyle w:val="Heading2"/>
        <w:spacing w:after="140" w:before="300"/>
      </w:pPr>
      <w:r>
        <w:rPr>
          <w:rFonts w:ascii="Georgia" w:cs="Georgia" w:eastAsia="Georgia" w:hAnsi="Georgia"/>
          <w:b/>
          <w:bCs/>
          <w:color w:val="0B2F1D"/>
          <w:sz w:val="25"/>
          <w:szCs w:val="25"/>
        </w:rPr>
        <w:t xml:space="preserve">II. Sơ đồ Sitemap tổng thể (Enterprise Level)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Khối chức năng</w:t>
            </w:r>
          </w:p>
        </w:tc>
        <w:tc>
          <w:tcPr>
            <w:tcW w:type="dxa" w:w="61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Mô tả cấu phần</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Trang chủ</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Định vị Quiet Luxury, đa ngôn ngữ EN/VI/ZH/JA/FR, bộ lọc động “Bạn tìm giải pháp cho ai?”.</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1. The Apothecary</w:t>
            </w:r>
          </w:p>
        </w:tc>
        <w:tc>
          <w:tcPr>
            <w:tcMar>
              <w:top w:type="dxa" w:w="80"/>
              <w:left w:type="dxa" w:w="100"/>
              <w:bottom w:type="dxa" w:w="80"/>
              <w:right w:type="dxa" w:w="100"/>
            </w:tcMar>
            <w:vAlign w:val="center"/>
          </w:tcPr>
          <w:p>
            <w:pPr>
              <w:pStyle w:val="ListParagraph"/>
              <w:numPr>
                <w:ilvl w:val="0"/>
                <w:numId w:val="2"/>
              </w:numPr>
              <w:spacing w:after="90" w:line="290"/>
            </w:pPr>
            <w:r>
              <w:rPr>
                <w:rFonts w:ascii="Calibri" w:cs="Calibri" w:eastAsia="Calibri" w:hAnsi="Calibri"/>
                <w:b w:val="false"/>
                <w:bCs w:val="false"/>
                <w:sz w:val="21"/>
                <w:szCs w:val="21"/>
              </w:rPr>
              <w:t xml:space="preserve">Dynamic Product Catalog (lọc theo mục tiêu sức khỏe &amp; đối tượng)</w:t>
            </w:r>
          </w:p>
          <w:p>
            <w:pPr>
              <w:pStyle w:val="ListParagraph"/>
              <w:numPr>
                <w:ilvl w:val="0"/>
                <w:numId w:val="2"/>
              </w:numPr>
              <w:spacing w:after="90" w:line="290"/>
            </w:pPr>
            <w:r>
              <w:rPr>
                <w:rFonts w:ascii="Calibri" w:cs="Calibri" w:eastAsia="Calibri" w:hAnsi="Calibri"/>
                <w:b w:val="false"/>
                <w:bCs w:val="false"/>
                <w:sz w:val="21"/>
                <w:szCs w:val="21"/>
              </w:rPr>
              <w:t xml:space="preserve">VKD Autoship Subscription (đăng ký mua định kỳ, tự gia hạn)</w:t>
            </w:r>
          </w:p>
          <w:p>
            <w:pPr>
              <w:pStyle w:val="ListParagraph"/>
              <w:numPr>
                <w:ilvl w:val="0"/>
                <w:numId w:val="2"/>
              </w:numPr>
              <w:spacing w:after="90" w:line="290"/>
            </w:pPr>
            <w:r>
              <w:rPr>
                <w:rFonts w:ascii="Calibri" w:cs="Calibri" w:eastAsia="Calibri" w:hAnsi="Calibri"/>
                <w:b w:val="false"/>
                <w:bCs w:val="false"/>
                <w:sz w:val="21"/>
                <w:szCs w:val="21"/>
              </w:rPr>
              <w:t xml:space="preserve">Premium Shopping Cart (giỏ hàng dạng Drawer, tự tính quà tặng VVIP)</w:t>
            </w:r>
          </w:p>
          <w:p>
            <w:pPr>
              <w:pStyle w:val="ListParagraph"/>
              <w:numPr>
                <w:ilvl w:val="0"/>
                <w:numId w:val="2"/>
              </w:numPr>
              <w:spacing w:after="90" w:line="290"/>
            </w:pPr>
            <w:r>
              <w:rPr>
                <w:rFonts w:ascii="Calibri" w:cs="Calibri" w:eastAsia="Calibri" w:hAnsi="Calibri"/>
                <w:b w:val="false"/>
                <w:bCs w:val="false"/>
                <w:sz w:val="21"/>
                <w:szCs w:val="21"/>
              </w:rPr>
              <w:t xml:space="preserve">Secure Global Checkout (PCI-DSS: Stripe, PayPal, VNPAY, MoMo)</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2. Omni-channel &amp; Live Commerce</w:t>
            </w:r>
          </w:p>
        </w:tc>
        <w:tc>
          <w:tcPr>
            <w:tcMar>
              <w:top w:type="dxa" w:w="80"/>
              <w:left w:type="dxa" w:w="100"/>
              <w:bottom w:type="dxa" w:w="80"/>
              <w:right w:type="dxa" w:w="100"/>
            </w:tcMar>
            <w:vAlign w:val="center"/>
          </w:tcPr>
          <w:p>
            <w:pPr>
              <w:pStyle w:val="ListParagraph"/>
              <w:numPr>
                <w:ilvl w:val="0"/>
                <w:numId w:val="2"/>
              </w:numPr>
              <w:spacing w:after="90" w:line="290"/>
            </w:pPr>
            <w:r>
              <w:rPr>
                <w:rFonts w:ascii="Calibri" w:cs="Calibri" w:eastAsia="Calibri" w:hAnsi="Calibri"/>
                <w:b w:val="false"/>
                <w:bCs w:val="false"/>
                <w:sz w:val="21"/>
                <w:szCs w:val="21"/>
              </w:rPr>
              <w:t xml:space="preserve">Marketplace Gateway (chuyển hướng Shopee Premium, TikTok Shop)</w:t>
            </w:r>
          </w:p>
          <w:p>
            <w:pPr>
              <w:pStyle w:val="ListParagraph"/>
              <w:numPr>
                <w:ilvl w:val="0"/>
                <w:numId w:val="2"/>
              </w:numPr>
              <w:spacing w:after="90" w:line="290"/>
            </w:pPr>
            <w:r>
              <w:rPr>
                <w:rFonts w:ascii="Calibri" w:cs="Calibri" w:eastAsia="Calibri" w:hAnsi="Calibri"/>
                <w:b w:val="false"/>
                <w:bCs w:val="false"/>
                <w:sz w:val="21"/>
                <w:szCs w:val="21"/>
              </w:rPr>
              <w:t xml:space="preserve">VKD Live Hub (stream real-time đồng bộ mạng xã hội)</w:t>
            </w:r>
          </w:p>
          <w:p>
            <w:pPr>
              <w:pStyle w:val="ListParagraph"/>
              <w:numPr>
                <w:ilvl w:val="0"/>
                <w:numId w:val="2"/>
              </w:numPr>
              <w:spacing w:after="90" w:line="290"/>
            </w:pPr>
            <w:r>
              <w:rPr>
                <w:rFonts w:ascii="Calibri" w:cs="Calibri" w:eastAsia="Calibri" w:hAnsi="Calibri"/>
                <w:b w:val="false"/>
                <w:bCs w:val="false"/>
                <w:sz w:val="21"/>
                <w:szCs w:val="21"/>
              </w:rPr>
              <w:t xml:space="preserve">Social Proof Dynamic Wall (chứng thực số từ khách VIP)</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3. Digital Traceability Portal</w:t>
            </w:r>
          </w:p>
        </w:tc>
        <w:tc>
          <w:tcPr>
            <w:tcMar>
              <w:top w:type="dxa" w:w="80"/>
              <w:left w:type="dxa" w:w="100"/>
              <w:bottom w:type="dxa" w:w="80"/>
              <w:right w:type="dxa" w:w="100"/>
            </w:tcMar>
            <w:vAlign w:val="center"/>
          </w:tcPr>
          <w:p>
            <w:pPr>
              <w:pStyle w:val="ListParagraph"/>
              <w:numPr>
                <w:ilvl w:val="0"/>
                <w:numId w:val="2"/>
              </w:numPr>
              <w:spacing w:after="90" w:line="290"/>
            </w:pPr>
            <w:r>
              <w:rPr>
                <w:rFonts w:ascii="Calibri" w:cs="Calibri" w:eastAsia="Calibri" w:hAnsi="Calibri"/>
                <w:b w:val="false"/>
                <w:bCs w:val="false"/>
                <w:sz w:val="21"/>
                <w:szCs w:val="21"/>
              </w:rPr>
              <w:t xml:space="preserve">Anti-Counterfeit Verification (nhập Batch ID / quét QR)</w:t>
            </w:r>
          </w:p>
          <w:p>
            <w:pPr>
              <w:pStyle w:val="ListParagraph"/>
              <w:numPr>
                <w:ilvl w:val="0"/>
                <w:numId w:val="2"/>
              </w:numPr>
              <w:spacing w:after="90" w:line="290"/>
            </w:pPr>
            <w:r>
              <w:rPr>
                <w:rFonts w:ascii="Calibri" w:cs="Calibri" w:eastAsia="Calibri" w:hAnsi="Calibri"/>
                <w:b w:val="false"/>
                <w:bCs w:val="false"/>
                <w:sz w:val="21"/>
                <w:szCs w:val="21"/>
              </w:rPr>
              <w:t xml:space="preserve">Medical &amp; Scientific Research Hub (báo cáo lâm sàng hoạt chất MR2)</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4. VKD Elite Club</w:t>
            </w:r>
          </w:p>
        </w:tc>
        <w:tc>
          <w:tcPr>
            <w:tcMar>
              <w:top w:type="dxa" w:w="80"/>
              <w:left w:type="dxa" w:w="100"/>
              <w:bottom w:type="dxa" w:w="80"/>
              <w:right w:type="dxa" w:w="100"/>
            </w:tcMar>
            <w:vAlign w:val="center"/>
          </w:tcPr>
          <w:p>
            <w:pPr>
              <w:pStyle w:val="ListParagraph"/>
              <w:numPr>
                <w:ilvl w:val="0"/>
                <w:numId w:val="2"/>
              </w:numPr>
              <w:spacing w:after="90" w:line="290"/>
            </w:pPr>
            <w:r>
              <w:rPr>
                <w:rFonts w:ascii="Calibri" w:cs="Calibri" w:eastAsia="Calibri" w:hAnsi="Calibri"/>
                <w:b w:val="false"/>
                <w:bCs w:val="false"/>
                <w:sz w:val="21"/>
                <w:szCs w:val="21"/>
              </w:rPr>
              <w:t xml:space="preserve">Member Health Dashboard (hồ sơ sức khỏe cá nhân, gợi ý lịch trình dùng sâm)</w:t>
            </w:r>
          </w:p>
          <w:p>
            <w:pPr>
              <w:pStyle w:val="ListParagraph"/>
              <w:numPr>
                <w:ilvl w:val="0"/>
                <w:numId w:val="2"/>
              </w:numPr>
              <w:spacing w:after="90" w:line="290"/>
            </w:pPr>
            <w:r>
              <w:rPr>
                <w:rFonts w:ascii="Calibri" w:cs="Calibri" w:eastAsia="Calibri" w:hAnsi="Calibri"/>
                <w:b w:val="false"/>
                <w:bCs w:val="false"/>
                <w:sz w:val="21"/>
                <w:szCs w:val="21"/>
              </w:rPr>
              <w:t xml:space="preserve">Omni-channel Loyalty Engine (đồng bộ điểm thưởng Showroom ⇄ Online)</w:t>
            </w:r>
          </w:p>
        </w:tc>
      </w:tr>
    </w:tbl>
    <w:p>
      <w:pPr>
        <w:pStyle w:val="Heading2"/>
        <w:spacing w:after="140" w:before="300"/>
      </w:pPr>
      <w:r>
        <w:rPr>
          <w:rFonts w:ascii="Georgia" w:cs="Georgia" w:eastAsia="Georgia" w:hAnsi="Georgia"/>
          <w:b/>
          <w:bCs/>
          <w:color w:val="0B2F1D"/>
          <w:sz w:val="25"/>
          <w:szCs w:val="25"/>
        </w:rPr>
        <w:t xml:space="preserve">III. Chân dung khách hàng &amp; Hành trình sử dụng (Personas &amp; User Journeys)</w:t>
      </w:r>
    </w:p>
    <w:p>
      <w:pPr>
        <w:pStyle w:val="Heading3"/>
        <w:spacing w:after="100" w:before="220"/>
      </w:pPr>
      <w:r>
        <w:rPr>
          <w:rFonts w:ascii="Calibri" w:cs="Calibri" w:eastAsia="Calibri" w:hAnsi="Calibri"/>
          <w:b/>
          <w:bCs/>
          <w:color w:val="9C7A22"/>
          <w:sz w:val="22"/>
          <w:szCs w:val="22"/>
        </w:rPr>
        <w:t xml:space="preserve">Persona A — “Nhà điều hành thượng lưu” (B2C cao cấp, quốc tế)</w:t>
      </w:r>
    </w:p>
    <w:p>
      <w:pPr>
        <w:pStyle w:val="ListParagraph"/>
        <w:numPr>
          <w:ilvl w:val="0"/>
          <w:numId w:val="2"/>
        </w:numPr>
        <w:spacing w:after="90" w:line="290"/>
      </w:pPr>
      <w:r>
        <w:rPr>
          <w:rFonts w:ascii="Calibri" w:cs="Calibri" w:eastAsia="Calibri" w:hAnsi="Calibri"/>
          <w:b w:val="false"/>
          <w:bCs w:val="false"/>
          <w:sz w:val="21"/>
          <w:szCs w:val="21"/>
        </w:rPr>
        <w:t xml:space="preserve">Hồ sơ: 40–60 tuổi, thu nhập cao, quan tâm Longevity/Biohacking, mua hàng qua nghiên cứu kỹ trước khi quyết định.</w:t>
      </w:r>
    </w:p>
    <w:p>
      <w:pPr>
        <w:pStyle w:val="ListParagraph"/>
        <w:numPr>
          <w:ilvl w:val="0"/>
          <w:numId w:val="2"/>
        </w:numPr>
        <w:spacing w:after="90" w:line="290"/>
      </w:pPr>
      <w:r>
        <w:rPr>
          <w:rFonts w:ascii="Calibri" w:cs="Calibri" w:eastAsia="Calibri" w:hAnsi="Calibri"/>
          <w:b w:val="false"/>
          <w:bCs w:val="false"/>
          <w:sz w:val="21"/>
          <w:szCs w:val="21"/>
        </w:rPr>
        <w:t xml:space="preserve">Hành trình: Tìm kiếm khoa học (Medical Hub) → so sánh hàm lượng MR2 với sản phẩm khác → quét/nhập Batch ID để kiểm chứng lô hàng dự kiến mua → mua qua Global Checkout → được mời vào VKD Elite Club.</w:t>
      </w:r>
    </w:p>
    <w:p>
      <w:pPr>
        <w:pStyle w:val="ListParagraph"/>
        <w:numPr>
          <w:ilvl w:val="0"/>
          <w:numId w:val="2"/>
        </w:numPr>
        <w:spacing w:after="90" w:line="290"/>
      </w:pPr>
      <w:r>
        <w:rPr>
          <w:rFonts w:ascii="Calibri" w:cs="Calibri" w:eastAsia="Calibri" w:hAnsi="Calibri"/>
          <w:b w:val="false"/>
          <w:bCs w:val="false"/>
          <w:sz w:val="21"/>
          <w:szCs w:val="21"/>
        </w:rPr>
        <w:t xml:space="preserve">Yêu cầu hệ thống: nội dung khoa học có trích dẫn, tốc độ tải nhanh (CDN), thanh toán quốc tế đa tiền tệ, ngôn ngữ bản địa hoá chuẩn y tế.</w:t>
      </w:r>
    </w:p>
    <w:p>
      <w:pPr>
        <w:pStyle w:val="Heading3"/>
        <w:spacing w:after="100" w:before="220"/>
      </w:pPr>
      <w:r>
        <w:rPr>
          <w:rFonts w:ascii="Calibri" w:cs="Calibri" w:eastAsia="Calibri" w:hAnsi="Calibri"/>
          <w:b/>
          <w:bCs/>
          <w:color w:val="9C7A22"/>
          <w:sz w:val="22"/>
          <w:szCs w:val="22"/>
        </w:rPr>
        <w:t xml:space="preserve">Persona B — “Khách hàng trung thành nội địa” (B2C phổ thông, Việt Nam)</w:t>
      </w:r>
    </w:p>
    <w:p>
      <w:pPr>
        <w:pStyle w:val="ListParagraph"/>
        <w:numPr>
          <w:ilvl w:val="0"/>
          <w:numId w:val="2"/>
        </w:numPr>
        <w:spacing w:after="90" w:line="290"/>
      </w:pPr>
      <w:r>
        <w:rPr>
          <w:rFonts w:ascii="Calibri" w:cs="Calibri" w:eastAsia="Calibri" w:hAnsi="Calibri"/>
          <w:b w:val="false"/>
          <w:bCs w:val="false"/>
          <w:sz w:val="21"/>
          <w:szCs w:val="21"/>
        </w:rPr>
        <w:t xml:space="preserve">Hồ sơ: 45–70 tuổi hoặc con cái mua tặng cha mẹ; quen thuộc showroom Võ Kim Đường; ưu tiên tin cậy thương hiệu hơn dữ liệu khoa học thuần túy.</w:t>
      </w:r>
    </w:p>
    <w:p>
      <w:pPr>
        <w:pStyle w:val="ListParagraph"/>
        <w:numPr>
          <w:ilvl w:val="0"/>
          <w:numId w:val="2"/>
        </w:numPr>
        <w:spacing w:after="90" w:line="290"/>
      </w:pPr>
      <w:r>
        <w:rPr>
          <w:rFonts w:ascii="Calibri" w:cs="Calibri" w:eastAsia="Calibri" w:hAnsi="Calibri"/>
          <w:b w:val="false"/>
          <w:bCs w:val="false"/>
          <w:sz w:val="21"/>
          <w:szCs w:val="21"/>
        </w:rPr>
        <w:t xml:space="preserve">Hành trình: Nhận diện thương hiệu qua showroom/Facebook Live → mua trên site hoặc qua Live Commerce → tham gia Autoship cho sản phẩm dùng thường xuyên (PanaxX, viên nang) → tích điểm Loyalty đồng bộ showroom.</w:t>
      </w:r>
    </w:p>
    <w:p>
      <w:pPr>
        <w:pStyle w:val="Heading3"/>
        <w:spacing w:after="100" w:before="220"/>
      </w:pPr>
      <w:r>
        <w:rPr>
          <w:rFonts w:ascii="Calibri" w:cs="Calibri" w:eastAsia="Calibri" w:hAnsi="Calibri"/>
          <w:b/>
          <w:bCs/>
          <w:color w:val="9C7A22"/>
          <w:sz w:val="22"/>
          <w:szCs w:val="22"/>
        </w:rPr>
        <w:t xml:space="preserve">Persona C — “Đối tác nhập khẩu / nhà phân phối” (B2B Global)</w:t>
      </w:r>
    </w:p>
    <w:p>
      <w:pPr>
        <w:pStyle w:val="ListParagraph"/>
        <w:numPr>
          <w:ilvl w:val="0"/>
          <w:numId w:val="2"/>
        </w:numPr>
        <w:spacing w:after="90" w:line="290"/>
      </w:pPr>
      <w:r>
        <w:rPr>
          <w:rFonts w:ascii="Calibri" w:cs="Calibri" w:eastAsia="Calibri" w:hAnsi="Calibri"/>
          <w:b w:val="false"/>
          <w:bCs w:val="false"/>
          <w:sz w:val="21"/>
          <w:szCs w:val="21"/>
        </w:rPr>
        <w:t xml:space="preserve">Hồ sơ: doanh nghiệp dược phẩm, chuỗi nhà thuốc, đối tác ngoại giao quà tặng cấp cao.</w:t>
      </w:r>
    </w:p>
    <w:p>
      <w:pPr>
        <w:pStyle w:val="ListParagraph"/>
        <w:numPr>
          <w:ilvl w:val="0"/>
          <w:numId w:val="2"/>
        </w:numPr>
        <w:spacing w:after="90" w:line="290"/>
      </w:pPr>
      <w:r>
        <w:rPr>
          <w:rFonts w:ascii="Calibri" w:cs="Calibri" w:eastAsia="Calibri" w:hAnsi="Calibri"/>
          <w:b w:val="false"/>
          <w:bCs w:val="false"/>
          <w:sz w:val="21"/>
          <w:szCs w:val="21"/>
        </w:rPr>
        <w:t xml:space="preserve">Hành trình: Vào cổng B2B riêng biệt → xem hồ sơ chứng nhận GACP-WHO, hồ sơ pháp lý xuất khẩu → yêu cầu báo giá số lượng lớn → làm việc với đội Medical Board để xác thực hồ sơ khoa học trước khi ký hợp đồng phân phối.</w:t>
      </w:r>
    </w:p>
    <w:p>
      <w:pPr>
        <w:pStyle w:val="Heading2"/>
        <w:spacing w:after="140" w:before="300"/>
      </w:pPr>
      <w:r>
        <w:rPr>
          <w:rFonts w:ascii="Georgia" w:cs="Georgia" w:eastAsia="Georgia" w:hAnsi="Georgia"/>
          <w:b/>
          <w:bCs/>
          <w:color w:val="0B2F1D"/>
          <w:sz w:val="25"/>
          <w:szCs w:val="25"/>
        </w:rPr>
        <w:t xml:space="preserve">IV. Ma trận yêu cầu chức năng (Functional Requirements — ưu tiên MoSCoW)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100"/>
        <w:gridCol w:w="2000"/>
      </w:tblGrid>
      <w:tr>
        <w:tc>
          <w:tcPr>
            <w:tcW w:type="dxa" w:w="15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Module</w:t>
            </w:r>
          </w:p>
        </w:tc>
        <w:tc>
          <w:tcPr>
            <w:tcW w:type="dxa" w:w="39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Yêu cầu chức năng</w:t>
            </w:r>
          </w:p>
        </w:tc>
        <w:tc>
          <w:tcPr>
            <w:tcW w:type="dxa" w:w="11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Ưu tiên</w:t>
            </w:r>
          </w:p>
        </w:tc>
        <w:tc>
          <w:tcPr>
            <w:tcW w:type="dxa" w:w="20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Ghi chú kỹ thuật</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Catalog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Lọc động theo mục tiêu sức khỏe &amp; đối tượng; hiển thị % hoạt chất trên mỗi SKU</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Must</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Cần trường dữ liệu chuẩn hoá hàm lượng saponin cho từng lô sản phẩm</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Traceability</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Tra cứu Batch ID/QR trả về: kết quả kiểm định độc lập, toạ độ GACP-WHO, ngày thu hoạch</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Must</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Tích hợp API với đơn vị kiểm định thứ ba; xem thêm 0.3</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Checkout</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Thanh toán đa cổng (Stripe, PayPal, VNPAY, MoMo), đa tiền tệ USD/VND</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Must</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Chuẩn PCI-DSS bắt buộc; không lưu dữ liệu thẻ trên hệ thống của VKD</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Autoship</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Đăng ký chu kỳ giao 30/60/90 ngày; tạm dừng/huỷ tự phục vụ tại Dashboard</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Must</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Cần cổng thanh toán hỗ trợ token hoá (recurring billing)</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CRM/Loyalty</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Đồng bộ điểm thưởng thời gian thực giữa showroom (POS) và online</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Should</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Yêu cầu tích hợp POS hiện có của showroom Võ Kim Đường</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Medical Hub</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Đăng tải bài khoa học có gắn huy hiệu Hội đồng Y khoa VKD, cho phép tải PDF</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Should</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Cần quy trình duyệt nội dung có chuyên gia y khoa ký duyệt</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Live Commerce</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Nhúng luồng livestream đồng bộ từ mạng xã hội vào VKD Live Hub</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Should</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Có thể dùng SDK bên thứ ba (Facebook/TikTok) thay vì tự xây từ đầu</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B2B Portal</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Cổng riêng cho đối tác: hồ sơ pháp lý, báo giá số lượng lớn, hợp đồng số</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Could</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Có thể triển khai Phase 2, không chặn ra mắt B2C</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Đa ngôn ngữ</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EN/VI/ZH/JA/FR với nội dung y tế được chuyên gia bản địa kiểm duyệt</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Should</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Ưu tiên EN + ZH trước cho thị trường xuất khẩu gần</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Member Health Dashboard</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Hồ sơ sức khỏe cá nhân &amp; gợi ý lịch trình dùng sâm</w:t>
            </w:r>
          </w:p>
        </w:tc>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Could</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Cân nhắc quy định bảo vệ dữ liệu sức khỏe cá nhân (xem Phần V)</w:t>
            </w:r>
          </w:p>
        </w:tc>
      </w:tr>
    </w:tbl>
    <w:p>
      <w:pPr>
        <w:pStyle w:val="Heading2"/>
        <w:spacing w:after="140" w:before="300"/>
      </w:pPr>
      <w:r>
        <w:rPr>
          <w:rFonts w:ascii="Georgia" w:cs="Georgia" w:eastAsia="Georgia" w:hAnsi="Georgia"/>
          <w:b/>
          <w:bCs/>
          <w:color w:val="0B2F1D"/>
          <w:sz w:val="25"/>
          <w:szCs w:val="25"/>
        </w:rPr>
        <w:t xml:space="preserve">V. Yêu cầu phi chức năng (Non-Functional Requirements)</w:t>
      </w:r>
    </w:p>
    <w:p>
      <w:pPr>
        <w:pStyle w:val="ListParagraph"/>
        <w:numPr>
          <w:ilvl w:val="0"/>
          <w:numId w:val="2"/>
        </w:numPr>
        <w:spacing w:after="90" w:line="290"/>
      </w:pPr>
      <w:r>
        <w:rPr>
          <w:rFonts w:ascii="Calibri" w:cs="Calibri" w:eastAsia="Calibri" w:hAnsi="Calibri"/>
          <w:b w:val="false"/>
          <w:bCs w:val="false"/>
          <w:sz w:val="21"/>
          <w:szCs w:val="21"/>
        </w:rPr>
        <w:t xml:space="preserve">Hiệu năng: thời gian tải trang chủ dưới 2,5 giây tại thị trường Bắc Mỹ/Châu Âu (đo qua CDN); Core Web Vitals đạt ngưỡng “Good” của Google.</w:t>
      </w:r>
    </w:p>
    <w:p>
      <w:pPr>
        <w:pStyle w:val="ListParagraph"/>
        <w:numPr>
          <w:ilvl w:val="0"/>
          <w:numId w:val="2"/>
        </w:numPr>
        <w:spacing w:after="90" w:line="290"/>
      </w:pPr>
      <w:r>
        <w:rPr>
          <w:rFonts w:ascii="Calibri" w:cs="Calibri" w:eastAsia="Calibri" w:hAnsi="Calibri"/>
          <w:b w:val="false"/>
          <w:bCs w:val="false"/>
          <w:sz w:val="21"/>
          <w:szCs w:val="21"/>
        </w:rPr>
        <w:t xml:space="preserve">Bảo mật thanh toán: tuân thủ PCI-DSS; không lưu trữ số thẻ trên hạ tầng VKD, uỷ quyền toàn bộ cho cổng thanh toán đã chứng nhận.</w:t>
      </w:r>
    </w:p>
    <w:p>
      <w:pPr>
        <w:pStyle w:val="ListParagraph"/>
        <w:numPr>
          <w:ilvl w:val="0"/>
          <w:numId w:val="2"/>
        </w:numPr>
        <w:spacing w:after="90" w:line="290"/>
      </w:pPr>
      <w:r>
        <w:rPr>
          <w:rFonts w:ascii="Calibri" w:cs="Calibri" w:eastAsia="Calibri" w:hAnsi="Calibri"/>
          <w:b/>
          <w:bCs/>
          <w:sz w:val="21"/>
          <w:szCs w:val="21"/>
        </w:rPr>
        <w:t xml:space="preserve">Bảo vệ dữ liệu cá nhân: dữ liệu sức khỏe trong Member Health Dashboard cần được xử lý theo tinh thần Nghị định về bảo vệ dữ liệu cá nhân của Việt Nam và tương đương GDPR cho khách hàng EU — hạn chế thu thập, mã hoá khi lưu trữ, cho phép người dùng xoá dữ liệu.</w:t>
      </w:r>
    </w:p>
    <w:p>
      <w:pPr>
        <w:pStyle w:val="ListParagraph"/>
        <w:numPr>
          <w:ilvl w:val="0"/>
          <w:numId w:val="2"/>
        </w:numPr>
        <w:spacing w:after="90" w:line="290"/>
      </w:pPr>
      <w:r>
        <w:rPr>
          <w:rFonts w:ascii="Calibri" w:cs="Calibri" w:eastAsia="Calibri" w:hAnsi="Calibri"/>
          <w:b w:val="false"/>
          <w:bCs w:val="false"/>
          <w:sz w:val="21"/>
          <w:szCs w:val="21"/>
        </w:rPr>
        <w:t xml:space="preserve">Khả năng mở rộng: kiến trúc phải chịu được tải cao điểm của livestream bán hàng (Live Commerce) mà không ảnh hưởng tốc độ Catalog/Checkout.</w:t>
      </w:r>
    </w:p>
    <w:p>
      <w:pPr>
        <w:pStyle w:val="ListParagraph"/>
        <w:numPr>
          <w:ilvl w:val="0"/>
          <w:numId w:val="2"/>
        </w:numPr>
        <w:spacing w:after="90" w:line="290"/>
      </w:pPr>
      <w:r>
        <w:rPr>
          <w:rFonts w:ascii="Calibri" w:cs="Calibri" w:eastAsia="Calibri" w:hAnsi="Calibri"/>
          <w:b w:val="false"/>
          <w:bCs w:val="false"/>
          <w:sz w:val="21"/>
          <w:szCs w:val="21"/>
        </w:rPr>
        <w:t xml:space="preserve">Khả năng tiếp cận (Accessibility): tối thiểu đạt WCAG 2.1 mức AA cho các trang giao dịch cốt lõi.</w:t>
      </w:r>
    </w:p>
    <w:p>
      <w:pPr>
        <w:pStyle w:val="ListParagraph"/>
        <w:numPr>
          <w:ilvl w:val="0"/>
          <w:numId w:val="2"/>
        </w:numPr>
        <w:spacing w:after="90" w:line="290"/>
      </w:pPr>
      <w:r>
        <w:rPr>
          <w:rFonts w:ascii="Calibri" w:cs="Calibri" w:eastAsia="Calibri" w:hAnsi="Calibri"/>
          <w:b w:val="false"/>
          <w:bCs w:val="false"/>
          <w:sz w:val="21"/>
          <w:szCs w:val="21"/>
        </w:rPr>
        <w:t xml:space="preserve">Đa ngôn ngữ/đa vùng: hỗ trợ định dạng tiền tệ, ngày tháng, đơn vị đo theo vùng; nội dung y tế dịch bởi chuyên gia, không dùng máy dịch thuần túy.</w:t>
      </w:r>
    </w:p>
    <w:p>
      <w:pPr>
        <w:pStyle w:val="ListParagraph"/>
        <w:numPr>
          <w:ilvl w:val="0"/>
          <w:numId w:val="2"/>
        </w:numPr>
        <w:spacing w:after="90" w:line="290"/>
      </w:pPr>
      <w:r>
        <w:rPr>
          <w:rFonts w:ascii="Calibri" w:cs="Calibri" w:eastAsia="Calibri" w:hAnsi="Calibri"/>
          <w:b/>
          <w:bCs/>
          <w:sz w:val="21"/>
          <w:szCs w:val="21"/>
        </w:rPr>
        <w:t xml:space="preserve">Nhật ký kiểm toán (Audit trail): mọi thay đổi dữ liệu kiểm định lô hàng trên Traceability Portal phải có nhật ký không thể chỉnh sửa ngược, để bảo vệ uy tín minh bạch (liên hệ trực tiếp rủi ro nêu ở 0.3).</w:t>
      </w:r>
    </w:p>
    <w:p>
      <w:pPr>
        <w:pStyle w:val="Heading2"/>
        <w:spacing w:after="140" w:before="300"/>
      </w:pPr>
      <w:r>
        <w:rPr>
          <w:rFonts w:ascii="Georgia" w:cs="Georgia" w:eastAsia="Georgia" w:hAnsi="Georgia"/>
          <w:b/>
          <w:bCs/>
          <w:color w:val="0B2F1D"/>
          <w:sz w:val="25"/>
          <w:szCs w:val="25"/>
        </w:rPr>
        <w:t xml:space="preserve">VI. Kiến trúc kỹ thuật đề xuất</w:t>
      </w:r>
    </w:p>
    <w:p>
      <w:pPr>
        <w:pStyle w:val="Heading3"/>
        <w:spacing w:after="100" w:before="220"/>
      </w:pPr>
      <w:r>
        <w:rPr>
          <w:rFonts w:ascii="Calibri" w:cs="Calibri" w:eastAsia="Calibri" w:hAnsi="Calibri"/>
          <w:b/>
          <w:bCs/>
          <w:color w:val="9C7A22"/>
          <w:sz w:val="22"/>
          <w:szCs w:val="22"/>
        </w:rPr>
        <w:t xml:space="preserve">Mô hình tổng thể: Composable / Headless Commerce</w:t>
      </w:r>
    </w:p>
    <w:p>
      <w:pPr>
        <w:spacing w:after="140" w:line="300"/>
      </w:pPr>
      <w:r>
        <w:rPr>
          <w:rFonts w:ascii="Calibri" w:cs="Calibri" w:eastAsia="Calibri" w:hAnsi="Calibri"/>
          <w:i w:val="false"/>
          <w:iCs w:val="false"/>
          <w:sz w:val="21"/>
          <w:szCs w:val="21"/>
        </w:rPr>
        <w:t xml:space="preserve">Khuyến nghị tách rời lớp trình bày (frontend) khỏi lớp nghiệp vụ thương mại (commerce engine), thay vì tiếp tục dùng theme WordPress/WooCommerce liền khối như hiện tại. Lý do: (1) tốc độ tải nhanh hơn cho thị trường quốc tế qua CDN/edge rendering; (2) dễ mở rộng đa ngôn ngữ, đa cổng thanh toán; (3) B2C và B2B Portal có thể dùng chung một lớp dữ liệu sản phẩm/tồn kho nhưng giao diện khác nhau.</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Lớp kiến trúc</w:t>
            </w:r>
          </w:p>
        </w:tc>
        <w:tc>
          <w:tcPr>
            <w:tcW w:type="dxa" w:w="63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Thành phần đề xuất (mang tính tham khảo, cần đánh giá RFP)</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Frontend</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Ứng dụng web hiện đại (SSR/edge rendering) cho tốc độ tải quốc tế; giao diện B2C và B2B Portal tách biệt nhưng dùng chung hệ thống thiết kế (design system) Quiet Luxury.</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Commerce Engine</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Nền tảng thương mại điện tử cấp doanh nghiệp hỗ trợ headless (ví dụ nhóm giải pháp Shopify Plus/Commerce Component hoặc tương đương) — quản lý Catalog, Cart, Checkout, Subscription.</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Traceability Service</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Dịch vụ riêng lưu trữ dữ liệu Batch ID/QR, kết nối API với đơn vị kiểm định độc lập; có nhật ký kiểm toán bất biến.</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CRM/Loyalty</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Tích hợp hai chiều với hệ thống POS hiện tại của showroom Võ Kim Đường để đồng bộ điểm thưởng thời gian thực.</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Thanh toán</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Stripe/PayPal (quốc tế), VNPAY/MoMo (nội địa) qua cổng tổng hợp chuẩn PCI-DSS; hỗ trợ thanh toán định kỳ cho Autoship.</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CDN &amp; Hạ tầng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CDN toàn cầu (đa điểm hiện diện Á–Âu–Mỹ) để đảm bảo tốc độ tải cho khách hàng cao cấp quốc tế.</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Tích hợp Omni-channel</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SDK/API chính thức của Shopee Premium, TikTok Shop, Facebook Commerce cho Marketplace Gateway và Live Hub.</w:t>
            </w:r>
          </w:p>
        </w:tc>
      </w:tr>
    </w:tbl>
    <w:p>
      <w:pPr>
        <w:pBdr>
          <w:top w:val="single" w:color="F6F5F1" w:sz="1" w:space="1"/>
          <w:bottom w:val="single" w:color="F6F5F1" w:sz="1" w:space="1"/>
          <w:left w:val="single" w:color="9C7A22" w:sz="16" w:space="8"/>
          <w:right w:val="single" w:color="F6F5F1" w:sz="1" w:space="1"/>
        </w:pBdr>
        <w:shd w:fill="F6F5F1" w:val="clear"/>
        <w:spacing w:after="200" w:before="80"/>
      </w:pPr>
      <w:r>
        <w:rPr>
          <w:rFonts w:ascii="Calibri" w:cs="Calibri" w:eastAsia="Calibri" w:hAnsi="Calibri"/>
          <w:i/>
          <w:iCs/>
          <w:color w:val="3A3A3A"/>
          <w:sz w:val="20"/>
          <w:szCs w:val="20"/>
        </w:rPr>
        <w:t xml:space="preserve">Đây là khuyến nghị kiến trúc ở mức khái niệm để làm cơ sở lập RFP; lựa chọn nền tảng cụ thể cần một vòng đánh giá kỹ thuật riêng (proof-of-concept) trước khi cam kết ngân sách, do chi phí license/tuỳ biến giữa các nền tảng headless commerce chênh lệch đáng kể.</w:t>
      </w:r>
    </w:p>
    <w:p>
      <w:pPr>
        <w:pStyle w:val="Heading2"/>
        <w:spacing w:after="140" w:before="300"/>
      </w:pPr>
      <w:r>
        <w:rPr>
          <w:rFonts w:ascii="Georgia" w:cs="Georgia" w:eastAsia="Georgia" w:hAnsi="Georgia"/>
          <w:b/>
          <w:bCs/>
          <w:color w:val="0B2F1D"/>
          <w:sz w:val="25"/>
          <w:szCs w:val="25"/>
        </w:rPr>
        <w:t xml:space="preserve">VII. Mô hình dữ liệu cốt lõi (Key Entities)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W w:type="dxa" w:w="20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Thực thể</w:t>
            </w:r>
          </w:p>
        </w:tc>
        <w:tc>
          <w:tcPr>
            <w:tcW w:type="dxa" w:w="65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Thuộc tính chính</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Product</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SKU, tên, nhóm mục tiêu sức khỏe, đối tượng, % hoạt chất (MR2/Saponin), giá, hình ảnh, ngôn ngữ đa bản địa hoá.</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Batch (Lô hàng)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Batch ID, Product ID liên kết, ngày thu hoạch, toạ độ vườn trồng GACP-WHO, kết quả kiểm định (link PDF), đơn vị kiểm định, chữ ký số/nhật ký kiểm toán.</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Order</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Khách hàng, danh sách sản phẩm, kênh bán (Web/Live/Marketplace/Showroom), trạng thái, thông tin vận chuyển (DHL/GHTK).</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Subscription</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Khách hàng, sản phẩm, chu kỳ (30/60/90 ngày), trạng thái (active/paused/cancelled), lịch sử thanh toán định kỳ.</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Member</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Hồ sơ khách hàng, điểm loyalty, lịch sử mua (đồng bộ showroom+online), tuỳ chọn hồ sơ sức khỏe (opt-in, có kiểm soát quyền riêng tư).</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PartnerAccount (B2B)</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Tên doanh nghiệp, hồ sơ pháp lý, hạn mức tín dụng/đặt hàng, lịch sử báo giá &amp; hợp đồng.</w:t>
            </w:r>
          </w:p>
        </w:tc>
      </w:tr>
    </w:tbl>
    <w:p>
      <w:pPr>
        <w:pStyle w:val="Heading2"/>
        <w:spacing w:after="140" w:before="300"/>
      </w:pPr>
      <w:r>
        <w:rPr>
          <w:rFonts w:ascii="Georgia" w:cs="Georgia" w:eastAsia="Georgia" w:hAnsi="Georgia"/>
          <w:b/>
          <w:bCs/>
          <w:color w:val="0B2F1D"/>
          <w:sz w:val="25"/>
          <w:szCs w:val="25"/>
        </w:rPr>
        <w:t xml:space="preserve">VIII. Khung KPI &amp; Đo lường hiệu quả</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500"/>
      </w:tblGrid>
      <w:tr>
        <w:tc>
          <w:tcPr>
            <w:tcW w:type="dxa" w:w="26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Trụ cột</w:t>
            </w:r>
          </w:p>
        </w:tc>
        <w:tc>
          <w:tcPr>
            <w:tcW w:type="dxa" w:w="34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KPI đề xuất</w:t>
            </w:r>
          </w:p>
        </w:tc>
        <w:tc>
          <w:tcPr>
            <w:tcW w:type="dxa" w:w="25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Ý nghĩa</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Transparency Portal</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Tỷ lệ đơn hàng có lượt tra cứu Batch ID sau mua; thời gian phản hồi API kiểm định</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Đo mức độ khách hàng thực sự tin dùng công cụ minh bạch</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Benefit-Driven Catalog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Tỷ lệ chuyển đổi theo bộ lọc mục tiêu sức khỏe so với duyệt tự do</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Đánh giá hiệu quả tái cấu trúc danh mục</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Medical Hub</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Lưu lượng organic từ tìm kiếm y khoa; Domain Authority theo thời gian</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Đo tác động SEO/uy tín học thuật</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Autoship</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Tỷ lệ khách đăng ký định kỳ trên tổng khách mua sản phẩm tiêu dùng đều đặn; tỷ lệ giữ chân sau 3 chu kỳ</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Đo doanh thu định kỳ (recurring revenue)</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Omni-channel Loyalty</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Tỷ lệ điểm thưởng được dùng chéo giữa showroom và online</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Đo mức độ liền mạch trải nghiệm đa kênh</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Hiệu năng kỹ thuật</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Core Web Vitals; tỷ lệ rời trang (bounce rate) tại thị trường quốc tế</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Đo trải nghiệm kỹ thuật cho khách hàng cao cấp thiếu kiên nhẫn</w:t>
            </w:r>
          </w:p>
        </w:tc>
      </w:tr>
    </w:tbl>
    <w:p>
      <w:pPr>
        <w:pStyle w:val="Heading2"/>
        <w:spacing w:after="140" w:before="300"/>
      </w:pPr>
      <w:r>
        <w:rPr>
          <w:rFonts w:ascii="Georgia" w:cs="Georgia" w:eastAsia="Georgia" w:hAnsi="Georgia"/>
          <w:b/>
          <w:bCs/>
          <w:color w:val="0B2F1D"/>
          <w:sz w:val="25"/>
          <w:szCs w:val="25"/>
        </w:rPr>
        <w:t xml:space="preserve">IX. Lộ trình triển khai theo giai đoạn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5200"/>
      </w:tblGrid>
      <w:tr>
        <w:tc>
          <w:tcPr>
            <w:tcW w:type="dxa" w:w="16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Giai đoạn</w:t>
            </w:r>
          </w:p>
        </w:tc>
        <w:tc>
          <w:tcPr>
            <w:tcW w:type="dxa" w:w="23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Trọng tâm</w:t>
            </w:r>
          </w:p>
        </w:tc>
        <w:tc>
          <w:tcPr>
            <w:tcW w:type="dxa" w:w="52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Hạng mục chính</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Phase 0
(Nền tảng)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Chuẩn hoá dữ liệu &amp; thương hiệu</w:t>
            </w:r>
          </w:p>
        </w:tc>
        <w:tc>
          <w:tcPr>
            <w:tcMar>
              <w:top w:type="dxa" w:w="80"/>
              <w:left w:type="dxa" w:w="100"/>
              <w:bottom w:type="dxa" w:w="80"/>
              <w:right w:type="dxa" w:w="100"/>
            </w:tcMar>
            <w:vAlign w:val="center"/>
          </w:tcPr>
          <w:p>
            <w:pPr>
              <w:pStyle w:val="ListParagraph"/>
              <w:numPr>
                <w:ilvl w:val="0"/>
                <w:numId w:val="2"/>
              </w:numPr>
              <w:spacing w:after="90" w:line="290"/>
            </w:pPr>
            <w:r>
              <w:rPr>
                <w:rFonts w:ascii="Calibri" w:cs="Calibri" w:eastAsia="Calibri" w:hAnsi="Calibri"/>
                <w:b w:val="false"/>
                <w:bCs w:val="false"/>
                <w:sz w:val="21"/>
                <w:szCs w:val="21"/>
              </w:rPr>
              <w:t xml:space="preserve">Chuẩn hoá dữ liệu hàm lượng saponin/MR2 theo từng SKU và từng lô</w:t>
            </w:r>
          </w:p>
          <w:p>
            <w:pPr>
              <w:pStyle w:val="ListParagraph"/>
              <w:numPr>
                <w:ilvl w:val="0"/>
                <w:numId w:val="2"/>
              </w:numPr>
              <w:spacing w:after="90" w:line="290"/>
            </w:pPr>
            <w:r>
              <w:rPr>
                <w:rFonts w:ascii="Calibri" w:cs="Calibri" w:eastAsia="Calibri" w:hAnsi="Calibri"/>
                <w:b w:val="false"/>
                <w:bCs w:val="false"/>
                <w:sz w:val="21"/>
                <w:szCs w:val="21"/>
              </w:rPr>
              <w:t xml:space="preserve">Làm việc với đơn vị kiểm định độc lập cho Traceability Portal</w:t>
            </w:r>
          </w:p>
          <w:p>
            <w:pPr>
              <w:pStyle w:val="ListParagraph"/>
              <w:numPr>
                <w:ilvl w:val="0"/>
                <w:numId w:val="2"/>
              </w:numPr>
              <w:spacing w:after="90" w:line="290"/>
            </w:pPr>
            <w:r>
              <w:rPr>
                <w:rFonts w:ascii="Calibri" w:cs="Calibri" w:eastAsia="Calibri" w:hAnsi="Calibri"/>
                <w:b w:val="false"/>
                <w:bCs w:val="false"/>
                <w:sz w:val="21"/>
                <w:szCs w:val="21"/>
              </w:rPr>
              <w:t xml:space="preserve">Thiết kế hệ thống nhận diện Quiet Luxury (design system)</w:t>
            </w:r>
          </w:p>
          <w:p>
            <w:pPr>
              <w:pStyle w:val="ListParagraph"/>
              <w:numPr>
                <w:ilvl w:val="0"/>
                <w:numId w:val="2"/>
              </w:numPr>
              <w:spacing w:after="90" w:line="290"/>
            </w:pPr>
            <w:r>
              <w:rPr>
                <w:rFonts w:ascii="Calibri" w:cs="Calibri" w:eastAsia="Calibri" w:hAnsi="Calibri"/>
                <w:b w:val="false"/>
                <w:bCs w:val="false"/>
                <w:sz w:val="21"/>
                <w:szCs w:val="21"/>
              </w:rPr>
              <w:t xml:space="preserve">Rà soát và công bố minh bạch phạm vi vùng trồng thực tế (giải quyết rủi ro ở mục 0.3)</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Phase 1
(MVP B2C)</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Ra mắt lõi thương mại</w:t>
            </w:r>
          </w:p>
        </w:tc>
        <w:tc>
          <w:tcPr>
            <w:tcMar>
              <w:top w:type="dxa" w:w="80"/>
              <w:left w:type="dxa" w:w="100"/>
              <w:bottom w:type="dxa" w:w="80"/>
              <w:right w:type="dxa" w:w="100"/>
            </w:tcMar>
            <w:vAlign w:val="center"/>
          </w:tcPr>
          <w:p>
            <w:pPr>
              <w:pStyle w:val="ListParagraph"/>
              <w:numPr>
                <w:ilvl w:val="0"/>
                <w:numId w:val="2"/>
              </w:numPr>
              <w:spacing w:after="90" w:line="290"/>
            </w:pPr>
            <w:r>
              <w:rPr>
                <w:rFonts w:ascii="Calibri" w:cs="Calibri" w:eastAsia="Calibri" w:hAnsi="Calibri"/>
                <w:b w:val="false"/>
                <w:bCs w:val="false"/>
                <w:sz w:val="21"/>
                <w:szCs w:val="21"/>
              </w:rPr>
              <w:t xml:space="preserve">The Apothecary: Catalog theo Benefit-Driven Architecture + Checkout đa cổng</w:t>
            </w:r>
          </w:p>
          <w:p>
            <w:pPr>
              <w:pStyle w:val="ListParagraph"/>
              <w:numPr>
                <w:ilvl w:val="0"/>
                <w:numId w:val="2"/>
              </w:numPr>
              <w:spacing w:after="90" w:line="290"/>
            </w:pPr>
            <w:r>
              <w:rPr>
                <w:rFonts w:ascii="Calibri" w:cs="Calibri" w:eastAsia="Calibri" w:hAnsi="Calibri"/>
                <w:b w:val="false"/>
                <w:bCs w:val="false"/>
                <w:sz w:val="21"/>
                <w:szCs w:val="21"/>
              </w:rPr>
              <w:t xml:space="preserve">Digital Traceability Portal (tra cứu Batch ID/QR) — bản đầy đủ, không hình thức</w:t>
            </w:r>
          </w:p>
          <w:p>
            <w:pPr>
              <w:pStyle w:val="ListParagraph"/>
              <w:numPr>
                <w:ilvl w:val="0"/>
                <w:numId w:val="2"/>
              </w:numPr>
              <w:spacing w:after="90" w:line="290"/>
            </w:pPr>
            <w:r>
              <w:rPr>
                <w:rFonts w:ascii="Calibri" w:cs="Calibri" w:eastAsia="Calibri" w:hAnsi="Calibri"/>
                <w:b w:val="false"/>
                <w:bCs w:val="false"/>
                <w:sz w:val="21"/>
                <w:szCs w:val="21"/>
              </w:rPr>
              <w:t xml:space="preserve">Trang chủ đa ngôn ngữ EN/VI tối thiểu</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Phase 2
(Mở rộng)</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Giữ chân &amp; mở rộng kênh</w:t>
            </w:r>
          </w:p>
        </w:tc>
        <w:tc>
          <w:tcPr>
            <w:tcMar>
              <w:top w:type="dxa" w:w="80"/>
              <w:left w:type="dxa" w:w="100"/>
              <w:bottom w:type="dxa" w:w="80"/>
              <w:right w:type="dxa" w:w="100"/>
            </w:tcMar>
            <w:vAlign w:val="center"/>
          </w:tcPr>
          <w:p>
            <w:pPr>
              <w:pStyle w:val="ListParagraph"/>
              <w:numPr>
                <w:ilvl w:val="0"/>
                <w:numId w:val="2"/>
              </w:numPr>
              <w:spacing w:after="90" w:line="290"/>
            </w:pPr>
            <w:r>
              <w:rPr>
                <w:rFonts w:ascii="Calibri" w:cs="Calibri" w:eastAsia="Calibri" w:hAnsi="Calibri"/>
                <w:b w:val="false"/>
                <w:bCs w:val="false"/>
                <w:sz w:val="21"/>
                <w:szCs w:val="21"/>
              </w:rPr>
              <w:t xml:space="preserve">VKD Autoship Subscription</w:t>
            </w:r>
          </w:p>
          <w:p>
            <w:pPr>
              <w:pStyle w:val="ListParagraph"/>
              <w:numPr>
                <w:ilvl w:val="0"/>
                <w:numId w:val="2"/>
              </w:numPr>
              <w:spacing w:after="90" w:line="290"/>
            </w:pPr>
            <w:r>
              <w:rPr>
                <w:rFonts w:ascii="Calibri" w:cs="Calibri" w:eastAsia="Calibri" w:hAnsi="Calibri"/>
                <w:b w:val="false"/>
                <w:bCs w:val="false"/>
                <w:sz w:val="21"/>
                <w:szCs w:val="21"/>
              </w:rPr>
              <w:t xml:space="preserve">VKD Elite Club: Member Health Dashboard + Loyalty Engine đồng bộ showroom</w:t>
            </w:r>
          </w:p>
          <w:p>
            <w:pPr>
              <w:pStyle w:val="ListParagraph"/>
              <w:numPr>
                <w:ilvl w:val="0"/>
                <w:numId w:val="2"/>
              </w:numPr>
              <w:spacing w:after="90" w:line="290"/>
            </w:pPr>
            <w:r>
              <w:rPr>
                <w:rFonts w:ascii="Calibri" w:cs="Calibri" w:eastAsia="Calibri" w:hAnsi="Calibri"/>
                <w:b w:val="false"/>
                <w:bCs w:val="false"/>
                <w:sz w:val="21"/>
                <w:szCs w:val="21"/>
              </w:rPr>
              <w:t xml:space="preserve">Omni-channel &amp; Live Commerce: Marketplace Gateway, Live Hub, Social Proof Wall</w:t>
            </w:r>
          </w:p>
          <w:p>
            <w:pPr>
              <w:pStyle w:val="ListParagraph"/>
              <w:numPr>
                <w:ilvl w:val="0"/>
                <w:numId w:val="2"/>
              </w:numPr>
              <w:spacing w:after="90" w:line="290"/>
            </w:pPr>
            <w:r>
              <w:rPr>
                <w:rFonts w:ascii="Calibri" w:cs="Calibri" w:eastAsia="Calibri" w:hAnsi="Calibri"/>
                <w:b w:val="false"/>
                <w:bCs w:val="false"/>
                <w:sz w:val="21"/>
                <w:szCs w:val="21"/>
              </w:rPr>
              <w:t xml:space="preserve">Bổ sung ngôn ngữ ZH/JA/FR</w:t>
            </w:r>
          </w:p>
        </w:tc>
      </w:tr>
      <w:tr>
        <w:tc>
          <w:tcPr>
            <w:shd w:fill="F4EDD9" w:val="clea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Phase 3
(Toàn cầu hoá)</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B2B &amp; thẩm quyền khoa học</w:t>
            </w:r>
          </w:p>
        </w:tc>
        <w:tc>
          <w:tcPr>
            <w:tcMar>
              <w:top w:type="dxa" w:w="80"/>
              <w:left w:type="dxa" w:w="100"/>
              <w:bottom w:type="dxa" w:w="80"/>
              <w:right w:type="dxa" w:w="100"/>
            </w:tcMar>
            <w:vAlign w:val="center"/>
          </w:tcPr>
          <w:p>
            <w:pPr>
              <w:pStyle w:val="ListParagraph"/>
              <w:numPr>
                <w:ilvl w:val="0"/>
                <w:numId w:val="2"/>
              </w:numPr>
              <w:spacing w:after="90" w:line="290"/>
            </w:pPr>
            <w:r>
              <w:rPr>
                <w:rFonts w:ascii="Calibri" w:cs="Calibri" w:eastAsia="Calibri" w:hAnsi="Calibri"/>
                <w:b w:val="false"/>
                <w:bCs w:val="false"/>
                <w:sz w:val="21"/>
                <w:szCs w:val="21"/>
              </w:rPr>
              <w:t xml:space="preserve">B2B Global Portal cho đối tác nhập khẩu/ngoại giao</w:t>
            </w:r>
          </w:p>
          <w:p>
            <w:pPr>
              <w:pStyle w:val="ListParagraph"/>
              <w:numPr>
                <w:ilvl w:val="0"/>
                <w:numId w:val="2"/>
              </w:numPr>
              <w:spacing w:after="90" w:line="290"/>
            </w:pPr>
            <w:r>
              <w:rPr>
                <w:rFonts w:ascii="Calibri" w:cs="Calibri" w:eastAsia="Calibri" w:hAnsi="Calibri"/>
                <w:b w:val="false"/>
                <w:bCs w:val="false"/>
                <w:sz w:val="21"/>
                <w:szCs w:val="21"/>
              </w:rPr>
              <w:t xml:space="preserve">Medical &amp; Scientific Research Hub đầy đủ, huy hiệu Hội đồng Y khoa VKD</w:t>
            </w:r>
          </w:p>
          <w:p>
            <w:pPr>
              <w:pStyle w:val="ListParagraph"/>
              <w:numPr>
                <w:ilvl w:val="0"/>
                <w:numId w:val="2"/>
              </w:numPr>
              <w:spacing w:after="90" w:line="290"/>
            </w:pPr>
            <w:r>
              <w:rPr>
                <w:rFonts w:ascii="Calibri" w:cs="Calibri" w:eastAsia="Calibri" w:hAnsi="Calibri"/>
                <w:b w:val="false"/>
                <w:bCs w:val="false"/>
                <w:sz w:val="21"/>
                <w:szCs w:val="21"/>
              </w:rPr>
              <w:t xml:space="preserve">Mở rộng CDN toàn cầu và chứng nhận quốc tế (GACP-WHO, Halal nếu vào Trung Đông)</w:t>
            </w:r>
          </w:p>
        </w:tc>
      </w:tr>
    </w:tbl>
    <w:p>
      <w:pPr>
        <w:pStyle w:val="Heading2"/>
        <w:spacing w:after="140" w:before="300"/>
      </w:pPr>
      <w:r>
        <w:rPr>
          <w:rFonts w:ascii="Georgia" w:cs="Georgia" w:eastAsia="Georgia" w:hAnsi="Georgia"/>
          <w:b/>
          <w:bCs/>
          <w:color w:val="0B2F1D"/>
          <w:sz w:val="25"/>
          <w:szCs w:val="25"/>
        </w:rPr>
        <w:t xml:space="preserve">X. Sổ đăng ký rủi ro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400"/>
      </w:tblGrid>
      <w:tr>
        <w:tc>
          <w:tcPr>
            <w:tcW w:type="dxa" w:w="30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Rủi ro</w:t>
            </w:r>
          </w:p>
        </w:tc>
        <w:tc>
          <w:tcPr>
            <w:tcW w:type="dxa" w:w="13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Khả năng</w:t>
            </w:r>
          </w:p>
        </w:tc>
        <w:tc>
          <w:tcPr>
            <w:tcW w:type="dxa" w:w="13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Tác động</w:t>
            </w:r>
          </w:p>
        </w:tc>
        <w:tc>
          <w:tcPr>
            <w:tcW w:type="dxa" w:w="3400"/>
            <w:shd w:fill="0B2F1D"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Biện pháp giảm thiểu</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Traceability Portal triển khai hình thức (QR chỉ dẫn trang marketing, không có dữ liệu kiểm định thật)</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9C6A17"/>
                <w:sz w:val="19"/>
                <w:szCs w:val="19"/>
              </w:rPr>
              <w:t xml:space="preserve">Trung bình</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B23A2E"/>
                <w:sz w:val="19"/>
                <w:szCs w:val="19"/>
              </w:rPr>
              <w:t xml:space="preserve">Cao</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Bắt buộc tích hợp API với đơn vị kiểm định độc lập bên thứ ba; công khai phương pháp kiểm định.</w:t>
            </w:r>
          </w:p>
        </w:tc>
      </w:tr>
      <w:tr>
        <w:tc>
          <w:tcPr>
            <w:tcMar>
              <w:top w:type="dxa" w:w="80"/>
              <w:left w:type="dxa" w:w="100"/>
              <w:bottom w:type="dxa" w:w="80"/>
              <w:right w:type="dxa" w:w="100"/>
            </w:tcMar>
            <w:vAlign w:val="center"/>
          </w:tcPr>
          <w:p>
            <w:pPr>
              <w:spacing w:after="40"/>
            </w:pPr>
            <w:r>
              <w:rPr>
                <w:rFonts w:ascii="Calibri" w:cs="Calibri" w:eastAsia="Calibri" w:hAnsi="Calibri"/>
                <w:b/>
                <w:bCs/>
                <w:color w:val="1A1A1A"/>
                <w:sz w:val="19"/>
                <w:szCs w:val="19"/>
              </w:rPr>
              <w:t xml:space="preserve">Thông tin vùng trồng bị đặt câu hỏi bởi báo chí/cơ quan quản lý (xem 0.3)</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B23A2E"/>
                <w:sz w:val="19"/>
                <w:szCs w:val="19"/>
              </w:rPr>
              <w:t xml:space="preserve">Đã xảy ra</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B23A2E"/>
                <w:sz w:val="19"/>
                <w:szCs w:val="19"/>
              </w:rPr>
              <w:t xml:space="preserve">Cao</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Công bố phạm vi vùng trồng thực tế trên chính Traceability Portal; tránh phóng đại số liệu diện tích.</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Chi phí license nền tảng headless commerce vượt ngân sách</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9C6A17"/>
                <w:sz w:val="19"/>
                <w:szCs w:val="19"/>
              </w:rPr>
              <w:t xml:space="preserve">Trung bình</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9C6A17"/>
                <w:sz w:val="19"/>
                <w:szCs w:val="19"/>
              </w:rPr>
              <w:t xml:space="preserve">Trung bình</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Thực hiện proof-of-concept và RFP cạnh tranh giữa ít nhất 3 nhà cung cấp/nền tảng trước khi ký hợp đồng.</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Nội dung Medical Hub thiếu kiểm duyệt chuyên môn, ảnh hưởng uy tín y khoa</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9C6A17"/>
                <w:sz w:val="19"/>
                <w:szCs w:val="19"/>
              </w:rPr>
              <w:t xml:space="preserve">Trung bình</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B23A2E"/>
                <w:sz w:val="19"/>
                <w:szCs w:val="19"/>
              </w:rPr>
              <w:t xml:space="preserve">Cao</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Thiết lập quy trình duyệt bài có chữ ký chuyên gia y khoa trước khi đăng tải công khai.</w:t>
            </w:r>
          </w:p>
        </w:tc>
      </w:tr>
      <w:tr>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Dữ liệu hồ sơ sức khỏe cá nhân (Member Health Dashboard) bị lộ/rò rỉ</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2E6B3E"/>
                <w:sz w:val="19"/>
                <w:szCs w:val="19"/>
              </w:rPr>
              <w:t xml:space="preserve">Thấp</w:t>
            </w:r>
          </w:p>
        </w:tc>
        <w:tc>
          <w:tcPr>
            <w:tcW w:type="dxa" w:w="1300"/>
            <w:tcMar>
              <w:top w:type="dxa" w:w="80"/>
              <w:left w:type="dxa" w:w="100"/>
              <w:bottom w:type="dxa" w:w="80"/>
              <w:right w:type="dxa" w:w="100"/>
            </w:tcMar>
            <w:vAlign w:val="center"/>
          </w:tcPr>
          <w:p>
            <w:pPr>
              <w:spacing w:after="40"/>
            </w:pPr>
            <w:r>
              <w:rPr>
                <w:rFonts w:ascii="Calibri" w:cs="Calibri" w:eastAsia="Calibri" w:hAnsi="Calibri"/>
                <w:b/>
                <w:bCs/>
                <w:color w:val="B23A2E"/>
                <w:sz w:val="19"/>
                <w:szCs w:val="19"/>
              </w:rPr>
              <w:t xml:space="preserve">Cao</w:t>
            </w:r>
          </w:p>
        </w:tc>
        <w:tc>
          <w:tcPr>
            <w:tcMar>
              <w:top w:type="dxa" w:w="80"/>
              <w:left w:type="dxa" w:w="100"/>
              <w:bottom w:type="dxa" w:w="80"/>
              <w:right w:type="dxa" w:w="100"/>
            </w:tcMar>
            <w:vAlign w:val="center"/>
          </w:tcPr>
          <w:p>
            <w:pPr>
              <w:spacing w:after="40"/>
            </w:pPr>
            <w:r>
              <w:rPr>
                <w:rFonts w:ascii="Calibri" w:cs="Calibri" w:eastAsia="Calibri" w:hAnsi="Calibri"/>
                <w:b w:val="false"/>
                <w:bCs w:val="false"/>
                <w:color w:val="1A1A1A"/>
                <w:sz w:val="19"/>
                <w:szCs w:val="19"/>
              </w:rPr>
              <w:t xml:space="preserve">Mã hoá khi lưu trữ, thu thập tối thiểu, tuân thủ quy định bảo vệ dữ liệu cá nhân hiện hành; đánh giá bảo mật độc lập trước khi ra mắt tính năng này.</w:t>
            </w:r>
          </w:p>
        </w:tc>
      </w:tr>
    </w:tbl>
    <w:p>
      <w:pPr>
        <w:pStyle w:val="Heading2"/>
        <w:spacing w:after="140" w:before="300"/>
      </w:pPr>
      <w:r>
        <w:rPr>
          <w:rFonts w:ascii="Georgia" w:cs="Georgia" w:eastAsia="Georgia" w:hAnsi="Georgia"/>
          <w:b/>
          <w:bCs/>
          <w:color w:val="0B2F1D"/>
          <w:sz w:val="25"/>
          <w:szCs w:val="25"/>
        </w:rPr>
        <w:t xml:space="preserve">XI. Khuyến nghị &amp; bước tiếp theo trình HĐQT</w:t>
      </w:r>
    </w:p>
    <w:p>
      <w:pPr>
        <w:pStyle w:val="ListParagraph"/>
        <w:numPr>
          <w:ilvl w:val="0"/>
          <w:numId w:val="2"/>
        </w:numPr>
        <w:spacing w:after="90" w:line="290"/>
      </w:pPr>
      <w:r>
        <w:rPr>
          <w:rFonts w:ascii="Calibri" w:cs="Calibri" w:eastAsia="Calibri" w:hAnsi="Calibri"/>
          <w:b/>
          <w:bCs/>
          <w:sz w:val="21"/>
          <w:szCs w:val="21"/>
        </w:rPr>
        <w:t xml:space="preserve">Phê duyệt định vị thương hiệu kép: “VKD Medical Group” cho thị trường quốc tế, “Võ Kim Đường” như tên di sản cho thị trường nội địa.</w:t>
      </w:r>
    </w:p>
    <w:p>
      <w:pPr>
        <w:pStyle w:val="ListParagraph"/>
        <w:numPr>
          <w:ilvl w:val="0"/>
          <w:numId w:val="2"/>
        </w:numPr>
        <w:spacing w:after="90" w:line="290"/>
      </w:pPr>
      <w:r>
        <w:rPr>
          <w:rFonts w:ascii="Calibri" w:cs="Calibri" w:eastAsia="Calibri" w:hAnsi="Calibri"/>
          <w:b/>
          <w:bCs/>
          <w:sz w:val="21"/>
          <w:szCs w:val="21"/>
        </w:rPr>
        <w:t xml:space="preserve">Ưu tiên ngân sách Phase 0–1 cho Traceability Portal thật (không hình thức) và chuẩn hoá dữ liệu hoạt chất — đây vừa là luận điểm cạnh tranh mạnh nhất, vừa là công cụ xử lý rủi ro uy tín đang tồn tại.</w:t>
      </w:r>
    </w:p>
    <w:p>
      <w:pPr>
        <w:pStyle w:val="ListParagraph"/>
        <w:numPr>
          <w:ilvl w:val="0"/>
          <w:numId w:val="2"/>
        </w:numPr>
        <w:spacing w:after="90" w:line="290"/>
      </w:pPr>
      <w:r>
        <w:rPr>
          <w:rFonts w:ascii="Calibri" w:cs="Calibri" w:eastAsia="Calibri" w:hAnsi="Calibri"/>
          <w:b/>
          <w:bCs/>
          <w:sz w:val="21"/>
          <w:szCs w:val="21"/>
        </w:rPr>
        <w:t xml:space="preserve">Chỉ định một đơn vị kiểm định độc lập chính thức và công bố minh bạch phạm vi vùng trồng trước khi truyền thông rộng rãi thông điệp “Transparency Engine”.</w:t>
      </w:r>
    </w:p>
    <w:p>
      <w:pPr>
        <w:pStyle w:val="ListParagraph"/>
        <w:numPr>
          <w:ilvl w:val="0"/>
          <w:numId w:val="2"/>
        </w:numPr>
        <w:spacing w:after="90" w:line="290"/>
      </w:pPr>
      <w:r>
        <w:rPr>
          <w:rFonts w:ascii="Calibri" w:cs="Calibri" w:eastAsia="Calibri" w:hAnsi="Calibri"/>
          <w:b w:val="false"/>
          <w:bCs w:val="false"/>
          <w:sz w:val="21"/>
          <w:szCs w:val="21"/>
        </w:rPr>
        <w:t xml:space="preserve">Yêu cầu đội kỹ thuật/agency lập RFP dựa trên Phần II–VII của tài liệu này, kèm proof-of-concept trước khi cam kết ngân sách nền tảng headless commerce.</w:t>
      </w:r>
    </w:p>
    <w:p>
      <w:pPr>
        <w:pStyle w:val="ListParagraph"/>
        <w:numPr>
          <w:ilvl w:val="0"/>
          <w:numId w:val="2"/>
        </w:numPr>
        <w:spacing w:after="90" w:line="290"/>
      </w:pPr>
      <w:r>
        <w:rPr>
          <w:rFonts w:ascii="Calibri" w:cs="Calibri" w:eastAsia="Calibri" w:hAnsi="Calibri"/>
          <w:b w:val="false"/>
          <w:bCs w:val="false"/>
          <w:sz w:val="21"/>
          <w:szCs w:val="21"/>
        </w:rPr>
        <w:t xml:space="preserve">Xem lại và phê duyệt khung KPI (Phần VIII) làm cơ sở đánh giá hiệu quả đầu tư sau 2 quý đầu vận hành.</w:t>
      </w:r>
    </w:p>
    <w:p>
      <w:pPr>
        <w:spacing w:before="400"/>
      </w:pPr>
      <w:r>
        <w:rPr>
          <w:i/>
          <w:iCs/>
          <w:color w:val="595959"/>
          <w:sz w:val="20"/>
          <w:szCs w:val="20"/>
        </w:rPr>
        <w:t xml:space="preserve">— Hết báo cáo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lvl w:ilvl="2" w15:tentative="1">
      <w:start w:val="1"/>
      <w:numFmt w:val="bullet"/>
      <w:lvlText w:val="–"/>
      <w:lvlJc w:val="left"/>
      <w:pPr>
        <w:ind w:left="11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2026-07-12T05:14:51.905Z</dcterms:created>
  <dcterms:modified xsi:type="dcterms:W3CDTF">2026-07-12T05:14:51.930Z</dcterms:modified>
</cp:coreProperties>
</file>

<file path=docProps/custom.xml><?xml version="1.0" encoding="utf-8"?>
<Properties xmlns="http://schemas.openxmlformats.org/officeDocument/2006/custom-properties" xmlns:vt="http://schemas.openxmlformats.org/officeDocument/2006/docPropsVTypes"/>
</file>