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F37"/>
          <w:spacing w:val="40"/>
          <w:sz w:val="22"/>
          <w:szCs w:val="22"/>
        </w:rPr>
        <w:t xml:space="preserve">VKD GROUP</w:t>
      </w:r>
    </w:p>
    <w:p>
      <w:pPr>
        <w:spacing w:after="120" w:before="200"/>
        <w:jc w:val="center"/>
      </w:pPr>
      <w:r>
        <w:rPr>
          <w:rFonts w:ascii="Georgia" w:cs="Georgia" w:eastAsia="Georgia" w:hAnsi="Georgia"/>
          <w:b/>
          <w:bCs/>
          <w:color w:val="0B2F1D"/>
          <w:sz w:val="48"/>
          <w:szCs w:val="48"/>
        </w:rPr>
        <w:t xml:space="preserve">NỀN TẢNG WEBSITE MỚI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Ngôn ngữ · Nền tảng · Lợi thế cạnh tranh so với WordPress cũ</w:t>
      </w:r>
    </w:p>
    <w:p>
      <w:pPr>
        <w:pBdr>
          <w:top w:val="single" w:color="D4AF37" w:sz="4" w:space="8"/>
        </w:pBdr>
        <w:spacing w:before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Báo cáo tổng hợp kỹ thuật &amp; chiến lược  ·  Tầm nhìn 10 năm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Tháng 7 / 2026</w:t>
      </w:r>
    </w:p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B2F1D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B2F1D"/>
          <w:sz w:val="30"/>
          <w:szCs w:val="30"/>
        </w:rPr>
        <w:t xml:space="preserve">1. Site mới dùng ngôn ngữ gì, nền tảng gì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Website VKD Group được xây trên stack lập trình hiện đại — không phải page builder, không phải theme dựng sẵn. Toàn quyền kiểm soát từ pixel đến logic nghiệp vụ.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0B2F1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700"/>
            <w:shd w:fill="0B2F1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nghệ sử dụng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Ngôn ngữ lập trình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TypeScript — kiểu tĩnh, giảm lỗi runtime, chuẩn enterprise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Framework giao diện</w:t>
            </w:r>
          </w:p>
        </w:tc>
        <w:tc>
          <w:tcPr>
            <w:tcW w:type="dxa" w:w="67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(biên dịch bằng Vite) — kiến trúc component, tái sử dụng cao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Styling / Design system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Tailwind CSS + shadcn/ui — kiểm soát pixel-level, đồng bộ token màu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Bảng màu thương hiệu</w:t>
            </w:r>
          </w:p>
        </w:tc>
        <w:tc>
          <w:tcPr>
            <w:tcW w:type="dxa" w:w="67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Xanh đại ngàn #0B2F1D · Vàng gold #D4AF37 · nền trắng/kem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Playfair Display (tiêu đề) · Inter (nội dung)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Kiến trúc ứng dụng</w:t>
            </w:r>
          </w:p>
        </w:tc>
        <w:tc>
          <w:tcPr>
            <w:tcW w:type="dxa" w:w="67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Single Page Application — component hóa, trạng thái (state) thời gian thực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Đa ngôn ngữ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ngôn ngữ: VI / EN / ZH / FR / AR (có hỗ trợ RTL cho tiếng Ả Rập)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Triển khai (Deploy)</w:t>
            </w:r>
          </w:p>
        </w:tc>
        <w:tc>
          <w:tcPr>
            <w:tcW w:type="dxa" w:w="67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 — CDN toàn cầu, build tự động, không phụ thuộc máy chủ vật lý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Đối chiếu: site cũ chạy trên WordPress + theme Flatsome + WooCommerce — nền tảng quản trị nội dung phổ thông, không phải nền tảng ứng dụng thương mại.</w:t>
      </w:r>
    </w:p>
    <w:p>
      <w:pPr>
        <w:pStyle w:val="Heading1"/>
        <w:pBdr>
          <w:bottom w:val="single" w:color="D4AF37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B2F1D"/>
          <w:sz w:val="30"/>
          <w:szCs w:val="30"/>
        </w:rPr>
        <w:t xml:space="preserve">2. Nền tảng mới hơn WordPress ở đâu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00"/>
      </w:tblGrid>
      <w:tr>
        <w:trPr>
          <w:tblHeader/>
        </w:trPr>
        <w:tc>
          <w:tcPr>
            <w:tcW w:type="dxa" w:w="2500"/>
            <w:shd w:fill="0B2F1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400"/>
            <w:shd w:fill="8A2E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WordPress (cũ)</w:t>
            </w:r>
          </w:p>
        </w:tc>
        <w:tc>
          <w:tcPr>
            <w:tcW w:type="dxa" w:w="3400"/>
            <w:shd w:fill="0B2F1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Nền tảng mới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Kiến trúc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Monolithic, phụ thuộc chuỗi plugin</w:t>
            </w:r>
          </w:p>
        </w:tc>
        <w:tc>
          <w:tcPr>
            <w:tcW w:type="dxa" w:w="3400"/>
            <w:shd w:fill="FDF9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Component-based, kiểm soát toàn phần</w:t>
            </w:r>
          </w:p>
        </w:tc>
      </w:tr>
      <w:tr>
        <w:tc>
          <w:tcPr>
            <w:tcW w:type="dxa" w:w="25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Tốc độ tải trang</w:t>
            </w:r>
          </w:p>
        </w:tc>
        <w:tc>
          <w:tcPr>
            <w:tcW w:type="dxa" w:w="34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Chậm dần khi chồng plugin</w:t>
            </w:r>
          </w:p>
        </w:tc>
        <w:tc>
          <w:tcPr>
            <w:tcW w:type="dxa" w:w="3400"/>
            <w:shd w:fill="FBF3D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Tối ưu bundle, CDN toàn cầu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Mục tiêu tấn công phổ biến nhất web</w:t>
            </w:r>
          </w:p>
        </w:tc>
        <w:tc>
          <w:tcPr>
            <w:tcW w:type="dxa" w:w="3400"/>
            <w:shd w:fill="FDF9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Bề mặt tấn công nhỏ, không phụ thuộc bên thứ 3</w:t>
            </w:r>
          </w:p>
        </w:tc>
      </w:tr>
      <w:tr>
        <w:tc>
          <w:tcPr>
            <w:tcW w:type="dxa" w:w="25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Cá nhân hóa (quiz, health dashboard)</w:t>
            </w:r>
          </w:p>
        </w:tc>
        <w:tc>
          <w:tcPr>
            <w:tcW w:type="dxa" w:w="34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Không khả thi kỹ thuật</w:t>
            </w:r>
          </w:p>
        </w:tc>
        <w:tc>
          <w:tcPr>
            <w:tcW w:type="dxa" w:w="3400"/>
            <w:shd w:fill="FBF3D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Vận hành thực tế (Ginseng Advisor, Care Now)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Đa ngôn ngữ &amp; SEO quốc tế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Plugin WPML/Polylang, URL rối</w:t>
            </w:r>
          </w:p>
        </w:tc>
        <w:tc>
          <w:tcPr>
            <w:tcW w:type="dxa" w:w="3400"/>
            <w:shd w:fill="FDF9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i18n routing chuẩn, sẵn sàng hreflang</w:t>
            </w:r>
          </w:p>
        </w:tc>
      </w:tr>
      <w:tr>
        <w:tc>
          <w:tcPr>
            <w:tcW w:type="dxa" w:w="25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Subscription / Autoship</w:t>
            </w:r>
          </w:p>
        </w:tc>
        <w:tc>
          <w:tcPr>
            <w:tcW w:type="dxa" w:w="34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Plugin chắp vá, hay xung đột</w:t>
            </w:r>
          </w:p>
        </w:tc>
        <w:tc>
          <w:tcPr>
            <w:tcW w:type="dxa" w:w="3400"/>
            <w:shd w:fill="FBF3D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Logic nghiệp vụ tùy biến hoàn toàn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Thẩm mỹ Quiet Luxury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Giới hạn bởi khung theme</w:t>
            </w:r>
          </w:p>
        </w:tc>
        <w:tc>
          <w:tcPr>
            <w:tcW w:type="dxa" w:w="3400"/>
            <w:shd w:fill="FDF9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Tự do thiết kế từng chi tiết</w:t>
            </w:r>
          </w:p>
        </w:tc>
      </w:tr>
      <w:tr>
        <w:tc>
          <w:tcPr>
            <w:tcW w:type="dxa" w:w="25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Chi phí vận hành 10 năm</w:t>
            </w:r>
          </w:p>
        </w:tc>
        <w:tc>
          <w:tcPr>
            <w:tcW w:type="dxa" w:w="3400"/>
            <w:shd w:fill="F7F5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Tăng dần (license, vá lỗi)</w:t>
            </w:r>
          </w:p>
        </w:tc>
        <w:tc>
          <w:tcPr>
            <w:tcW w:type="dxa" w:w="3400"/>
            <w:shd w:fill="FBF3D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Phẳng, dự đoán được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F1D"/>
                <w:sz w:val="20"/>
                <w:szCs w:val="20"/>
              </w:rPr>
              <w:t xml:space="preserve">Sẵn sàng AI / App / Kiosk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Khó mở rộng</w:t>
            </w:r>
          </w:p>
        </w:tc>
        <w:tc>
          <w:tcPr>
            <w:tcW w:type="dxa" w:w="3400"/>
            <w:shd w:fill="FDF9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Kiến trúc API-first, mở rộng liền mạch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B2F1D"/>
          <w:sz w:val="30"/>
          <w:szCs w:val="30"/>
        </w:rPr>
        <w:t xml:space="preserve">3. Năm lợi thế chiến lược cốt lõi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B2F1D"/>
          <w:sz w:val="21"/>
          <w:szCs w:val="21"/>
        </w:rPr>
        <w:t xml:space="preserve">Đẳng cấp thị giác ngang tầm KGC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giao diện Quiet Luxury được kiểm soát ở mức component, không giới hạn bởi khung theme.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B2F1D"/>
          <w:sz w:val="21"/>
          <w:szCs w:val="21"/>
        </w:rPr>
        <w:t xml:space="preserve">Hạ tầng chứng thực thật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Cổng tra cứu QR/Batch ID có thể vận hành bằng dữ liệu thật, không dừng ở giao diện mô phỏng.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B2F1D"/>
          <w:sz w:val="21"/>
          <w:szCs w:val="21"/>
        </w:rPr>
        <w:t xml:space="preserve">Cá nhân hóa thời gian thực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VKD Ginseng Advisor và Care Now — quiz gợi ý sản phẩm, hồ sơ sức khỏe, lộ trình dùng sâm cá nhân hóa.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B2F1D"/>
          <w:sz w:val="21"/>
          <w:szCs w:val="21"/>
        </w:rPr>
        <w:t xml:space="preserve">Vận hành đa kênh, đa tiền tệ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logic subscription, đa ngôn ngữ, đa cổng thanh toán được tùy biến đúng luồng nghiệp vụ VKD, không lệ thuộc plugin.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B2F1D"/>
          <w:sz w:val="21"/>
          <w:szCs w:val="21"/>
        </w:rPr>
        <w:t xml:space="preserve">Sẵn sàng thẩm định &amp; gọi vốn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kiến trúc rõ ràng, hiện đại — tín hiệu chuyên nghiệp hóa khi VKD làm việc với nhà đầu tư hoặc đối tác quốc tế.</w:t>
      </w:r>
    </w:p>
    <w:p>
      <w:pPr>
        <w:pStyle w:val="Heading1"/>
        <w:pBdr>
          <w:bottom w:val="single" w:color="D4AF37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B2F1D"/>
          <w:sz w:val="30"/>
          <w:szCs w:val="30"/>
        </w:rPr>
        <w:t xml:space="preserve">4. Tổng hợp định vị &amp; kiến trúc chiến lược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2F1D"/>
          <w:sz w:val="24"/>
          <w:szCs w:val="24"/>
        </w:rPr>
        <w:t xml:space="preserve">4.1 Định vị thương hiệu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Phân khúc Quiet Luxury — ngang tầm Đông Trùng Hạ Thảo Tây Tạng, Yến Sào thượng hạng.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Chuyển trọng tâm truyền thông từ ngôn từ cảm tính ("quốc bảo") sang chứng thực khoa học: hàm lượng Saponin, hoạt chất độc quyền Majonoside R2 (MR2).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Ưu tiên định vị "Tập đoàn Y Dược" trước thương hiệu gia tộc để bảo chứng tính khoa học trên thị trường quốc tế.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2F1D"/>
          <w:sz w:val="24"/>
          <w:szCs w:val="24"/>
        </w:rPr>
        <w:t xml:space="preserve">4.2 Bản đồ đối thủ cạnh tranh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10 đối thủ nội địa — dẫn đầu là Sâm Ngọc Linh Kon Tum K5; điểm yếu chung: chưa cá nhân hóa, UX lạc hậu.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Chuẩn benchmark toàn cầu: Jung Kwan Jang / KGC — "Hồng sâm quốc dân" 120 năm, Benefit-Driven Architecture, hệ thống Care Now.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~20 đối thủ quốc tế theo vùng: Hàn Quốc (Ilhwa, Punggi), Trung Quốc &amp; Đài Loan (Đồng Nhân Đường, Tasly, Bing Han), Nhật Bản (Suntory, DHC), Đông Nam Á (Eu Yan Sang, Biolife), Trung Đông (Goodlife Vits, Aster Pharmacy), Âu-Mỹ (Prince of Peace, Solgar).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2F1D"/>
          <w:sz w:val="24"/>
          <w:szCs w:val="24"/>
        </w:rPr>
        <w:t xml:space="preserve">4.3 Bốn trụ cột kiến trúc tính năng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Traceability Portal — tra cứu Batch ID/QR, chứng chỉ MR2, tọa độ vườn trồng GACP-WHO.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Benefit-Driven Catalog — lọc sản phẩm theo mục tiêu sức khỏe (Energy, Stress Relief, Immunity, Radiance) và đối tượng.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Medical &amp; Research Hub — thay thế "tin tức" bằng nghiên cứu lâm sàng, huy hiệu Hội đồng Y khoa VKD.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Omnichannel &amp; Subscription Engine — Autoship, đa kênh (Shopee, TikTok, Facebook), đa tiền tệ, đa cổng thanh toán.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0B2F1D"/>
          <w:sz w:val="24"/>
          <w:szCs w:val="24"/>
        </w:rPr>
        <w:t xml:space="preserve">4.4 Kiến trúc sitemap tổng thể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Apothecary — thương mại điện tử doanh nghiệp: catalog động, autoship, giỏ hàng, checkout toàn cầu.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Omni-channel &amp; Live Commerce — marketplace gateway, VKD Live Hub, social proof wall.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Digital Traceability Portal — xác thực chống hàng giả, trung tâm nghiên cứu y học.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VKD Elite Club — health dashboard cá nhân, loyalty engine đồng bộ đa kênh.</w:t>
      </w:r>
    </w:p>
    <w:p>
      <w:pPr>
        <w:spacing w:before="300"/>
      </w:pPr>
    </w:p>
    <w:p>
      <w:pPr>
        <w:pBdr>
          <w:top w:val="single" w:color="D4AF37" w:sz="4" w:space="8"/>
        </w:pBdr>
        <w:spacing w:before="200"/>
      </w:pPr>
      <w:r>
        <w:rPr>
          <w:rFonts w:ascii="Georgia" w:cs="Georgia" w:eastAsia="Georgia" w:hAnsi="Georgia"/>
          <w:b/>
          <w:bCs/>
          <w:i/>
          <w:iCs/>
          <w:color w:val="0B2F1D"/>
          <w:sz w:val="21"/>
          <w:szCs w:val="21"/>
        </w:rPr>
        <w:t xml:space="preserve">Kết luận: WordPress xuất bản nội dung. Nền tảng mới vận hành một hệ sinh thái — chứng thực, cá nhân hóa, thương mại đa kênh. Đó là hạ tầng cho tầm nhìn 10 năm, không phải bản nâng cấp giao diện.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  <w:lvl w:ilvl="1" w15:tentative="1">
      <w:start w:val="1"/>
      <w:numFmt w:val="bullet"/>
      <w:lvlText w:val="·"/>
      <w:lvlJc w:val="left"/>
      <w:pPr>
        <w:ind w:left="6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2026-07-12T15:17:39.195Z</dcterms:created>
  <dcterms:modified xsi:type="dcterms:W3CDTF">2026-07-12T15:17:39.297Z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