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47559ed,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100/100/96; ZAP không ghi nhận High, nhưng frontend còn chín cảnh báo Low và năm Informational;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212080" cy="3083814"/>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212080" cy="3083814"/>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Hồ sơ, vai trò, phòng, thiết bị, closure và booking quan trọng ghi audit trong cùng Prisma transaction; test ép audit lỗi và xác nhận mutation rollback. Kết luận atomicity chỉ áp dụng cho mutation đã test, không suy rộng cho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Việc đặt invariant ở database giúp bắt race mà controller hoặc giao diện có thể bỏ sót; mỗi quyết định vẫn có oracle và giới hạn riêng. Vì vậy kết quả kiểm thử có giá trị giải thích,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47559ed8316476054282dda005b76aefb25af1f2</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8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8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Core CI 37350847374; 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5,92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64,43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100;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0H/0M/9L/5I; API 0H/0M/0L/2I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47559ed, workflow 37350847374 và 37351470090,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5,92 ms, thấp hơn ngưỡng 500 ms. Kịch bản race tạo 20 request cạnh tranh đến cùng room-date-slot; raw summary ghi đúng một 201 và mười chín 409, p95 64,43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5 Informational; API ghi 0 High, 0 Medium, 0 Low và 2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100,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Manifest ghi Core CI run 37350847374 và quality-evidence run 37351470090, cùng thời điểm, phiên bản công cụ, threshold, đường dẫn artifact và SHA-256 của tám file cốt lõi. Các commit sau lần đo được ghi nhận trong hồ sơ này chỉ đồng bộ hoặc làm rõ tài liệu, không thay đổi SUT hay bộ test. SHA-256 cho phép đối chiếu artifact với commit; artifact có thời hạn lưu giữ nên cần được lưu bổ sung khi cần. Các file report sinh tự động không được đưa toàn bộ vào Git để tránh phình repository.</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BUG-007 thuộc độ đầy đủ test và BUG-008 thuộc accessibility; các mục này được giữ để bảo toàn lịch sử kiểm định, không được diễn giải rộng hơn bằng chứng đã có.</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Nút disabled trong Admin không đủ tương phản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Bỏ opacity làm giảm contrast; TC-E2E-12</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 TC-E2E-07/12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API/E2E/accessibility</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table/accessibility</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 TC-E2E-12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API/report/E2E</w:t>
            </w:r>
          </w:p>
        </w:tc>
      </w:tr>
    </w:tbl>
    <w:p>
      <w:pPr>
        <w:spacing w:after="0"/>
      </w:pPr>
    </w:p>
    <w:p>
      <w:r>
        <w:rPr>
          <w:i w:val="0"/>
        </w:rPr>
        <w:t>Ma trận đầy đủ nằm tại docs/03-rtm.csv; hợp đồng endpoint và ca lỗi nằm tại docs/04-test-cases.csv.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