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val="0"/>
          <w:bCs/>
          <w:lang w:val="fr-FR"/>
        </w:rPr>
      </w:pPr>
      <w:r>
        <w:rPr>
          <w:rFonts w:hint="default"/>
          <w:b w:val="0"/>
          <w:bCs/>
          <w:lang w:val="fr-FR"/>
        </w:rPr>
        <w:t>Diedhiou Ahmed Bachir</w:t>
      </w:r>
    </w:p>
    <w:p>
      <w:pPr>
        <w:jc w:val="both"/>
        <w:rPr>
          <w:rFonts w:hint="default"/>
          <w:b w:val="0"/>
          <w:bCs/>
          <w:lang w:val="fr-FR"/>
        </w:rPr>
      </w:pPr>
      <w:bookmarkStart w:id="0" w:name="_GoBack"/>
      <w:bookmarkEnd w:id="0"/>
    </w:p>
    <w:p>
      <w:pPr>
        <w:jc w:val="both"/>
        <w:rPr>
          <w:b/>
        </w:rPr>
      </w:pPr>
      <w:r>
        <w:rPr>
          <w:b/>
        </w:rPr>
        <w:t>Les déterminants de l’investissement vert dans l’Union Européenne</w:t>
      </w:r>
    </w:p>
    <w:p>
      <w:pPr>
        <w:rPr>
          <w:b/>
        </w:rPr>
      </w:pPr>
    </w:p>
    <w:p>
      <w:pPr>
        <w:rPr>
          <w:b/>
        </w:rPr>
      </w:pPr>
    </w:p>
    <w:p>
      <w:pPr>
        <w:pStyle w:val="9"/>
        <w:numPr>
          <w:ilvl w:val="0"/>
          <w:numId w:val="1"/>
        </w:numPr>
      </w:pPr>
      <w:r>
        <w:rPr>
          <w:b/>
          <w:u w:val="single"/>
        </w:rPr>
        <w:t>Problématique</w:t>
      </w:r>
      <w:r>
        <w:rPr>
          <w:u w:val="single"/>
        </w:rPr>
        <w:t> </w:t>
      </w:r>
    </w:p>
    <w:p/>
    <w:p>
      <w:r>
        <w:t xml:space="preserve"> Les taxes environnementales et les stratégies feed in tariff mises en place dans l’Union Européenne incitent-elles (réellement) à investir vert ? </w:t>
      </w:r>
    </w:p>
    <w:p/>
    <w:p/>
    <w:p>
      <w:pPr>
        <w:pStyle w:val="9"/>
        <w:numPr>
          <w:ilvl w:val="0"/>
          <w:numId w:val="2"/>
        </w:numPr>
        <w:rPr>
          <w:b/>
          <w:u w:val="single"/>
        </w:rPr>
      </w:pPr>
      <w:r>
        <w:rPr>
          <w:b/>
          <w:u w:val="single"/>
        </w:rPr>
        <w:t xml:space="preserve">Idée de plan </w:t>
      </w:r>
    </w:p>
    <w:p/>
    <w:p>
      <w:r>
        <w:t xml:space="preserve">Introduction </w:t>
      </w:r>
    </w:p>
    <w:p/>
    <w:p>
      <w:r>
        <w:t xml:space="preserve">Partie 1 : </w:t>
      </w:r>
    </w:p>
    <w:p>
      <w:r>
        <w:t xml:space="preserve">-Historique, état des lieux des objectifs environnementaux, règlementations, projets dans l’UE. </w:t>
      </w:r>
    </w:p>
    <w:p>
      <w:r>
        <w:t xml:space="preserve">-Revue de littérature (nécessité d’investir vert, les déterminants de l’investissement vert déjà testés, nécessité des gouvernements à inciter principalement les entreprises à investir vert,…) </w:t>
      </w:r>
    </w:p>
    <w:p/>
    <w:p>
      <w:r>
        <w:t xml:space="preserve">Partie 2 : </w:t>
      </w:r>
    </w:p>
    <w:p>
      <w:r>
        <w:t xml:space="preserve">-Présentation des variables </w:t>
      </w:r>
    </w:p>
    <w:p>
      <w:r>
        <w:t xml:space="preserve">-Econométrie  </w:t>
      </w:r>
    </w:p>
    <w:p>
      <w:r>
        <w:t>-Résultats / implications en matière de politiques</w:t>
      </w:r>
    </w:p>
    <w:p/>
    <w:p>
      <w:r>
        <w:t xml:space="preserve">Conclusion </w:t>
      </w:r>
    </w:p>
    <w:p/>
    <w:p>
      <w:pPr>
        <w:pStyle w:val="9"/>
        <w:numPr>
          <w:ilvl w:val="0"/>
          <w:numId w:val="2"/>
        </w:numPr>
        <w:rPr>
          <w:b/>
          <w:color w:val="000000" w:themeColor="text1"/>
          <w:u w:val="single"/>
          <w14:textFill>
            <w14:solidFill>
              <w14:schemeClr w14:val="tx1"/>
            </w14:solidFill>
          </w14:textFill>
        </w:rPr>
      </w:pPr>
      <w:r>
        <w:rPr>
          <w:b/>
          <w:u w:val="single"/>
        </w:rPr>
        <w:t xml:space="preserve">Stratégie empirique : </w:t>
      </w:r>
    </w:p>
    <w:p>
      <w:pPr>
        <w:rPr>
          <w:b/>
          <w:color w:val="000000" w:themeColor="text1"/>
          <w:u w:val="single"/>
          <w14:textFill>
            <w14:solidFill>
              <w14:schemeClr w14:val="tx1"/>
            </w14:solidFill>
          </w14:textFill>
        </w:rPr>
      </w:pPr>
    </w:p>
    <w:p>
      <w:pPr>
        <w:rPr>
          <w:color w:val="000000" w:themeColor="text1"/>
          <w14:textFill>
            <w14:solidFill>
              <w14:schemeClr w14:val="tx1"/>
            </w14:solidFill>
          </w14:textFill>
        </w:rPr>
      </w:pPr>
      <w:r>
        <w:t>Compte tenu de la disponibilité des données pour la variable dépendante -&gt; étude de 14 pays de l’UE sur une période 2010-</w:t>
      </w:r>
      <w:r>
        <w:rPr>
          <w:color w:val="000000" w:themeColor="text1"/>
          <w14:textFill>
            <w14:solidFill>
              <w14:schemeClr w14:val="tx1"/>
            </w14:solidFill>
          </w14:textFill>
        </w:rPr>
        <w:t xml:space="preserve">2017 -&gt; Bulgarie, Allemagne, Irlande, Espagne, France, Italie, Chypre, Lettonie, Lituanie, Luxembourg, Autriche, Pologne, Roumanie, Slovénie, Slovaquie, Suède, Royaume-Uni. </w:t>
      </w:r>
    </w:p>
    <w:p>
      <w:pPr>
        <w:rPr>
          <w:b/>
          <w:color w:val="000000" w:themeColor="text1"/>
          <w:u w:val="single"/>
          <w14:textFill>
            <w14:solidFill>
              <w14:schemeClr w14:val="tx1"/>
            </w14:solidFill>
          </w14:textFill>
        </w:rPr>
      </w:pPr>
    </w:p>
    <w:p>
      <w:r>
        <w:t>-Statistiques descriptives</w:t>
      </w:r>
    </w:p>
    <w:p>
      <w:r>
        <w:t xml:space="preserve">-test de corrélation / colinéarité entre les variables </w:t>
      </w:r>
    </w:p>
    <w:p>
      <w:pPr>
        <w:rPr>
          <w:b/>
        </w:rPr>
      </w:pPr>
      <w:r>
        <w:t>-</w:t>
      </w:r>
      <w:r>
        <w:rPr>
          <w:b/>
          <w:color w:val="FF0000"/>
        </w:rPr>
        <w:t>Ensemble des variables mises en LOG dans les deux propositions suivantes</w:t>
      </w:r>
      <w:r>
        <w:rPr>
          <w:b/>
        </w:rPr>
        <w:t> :</w:t>
      </w:r>
    </w:p>
    <w:p/>
    <w:p>
      <w:r>
        <w:rPr>
          <w:b/>
        </w:rPr>
        <w:t>SOIT</w:t>
      </w:r>
      <w:r>
        <w:t> : 2 modèles de régression linéaire multiple avec chacun la variable dépendante : investissements pour la protection de l’environnement de l’ensemble de l’économie</w:t>
      </w:r>
    </w:p>
    <w:p/>
    <w:p>
      <w:r>
        <w:t xml:space="preserve">- </w:t>
      </w:r>
      <w:r>
        <w:rPr>
          <w:b/>
        </w:rPr>
        <w:t>premier modèle</w:t>
      </w:r>
      <w:r>
        <w:t xml:space="preserve"> avec la variable explicative principale : les taxes environnementales. Décomposition en fonction du totale des taxes puis des taxes différenciées (taxe sur la pollution, taxe sur les transports, taxe sur l’énergie)  et en ajoutant les variables de contrôle </w:t>
      </w:r>
    </w:p>
    <w:p>
      <w:r>
        <w:t xml:space="preserve">- </w:t>
      </w:r>
      <w:r>
        <w:rPr>
          <w:b/>
        </w:rPr>
        <w:t>deuxième modèle</w:t>
      </w:r>
      <w:r>
        <w:t xml:space="preserve"> avec la variable explicative principale : feeds in tariffs (surement dummy variable oui/non) et en ajoutant les variables de contrôle. </w:t>
      </w:r>
    </w:p>
    <w:p/>
    <w:p>
      <w:r>
        <w:rPr>
          <w:b/>
        </w:rPr>
        <w:t>SOIT </w:t>
      </w:r>
      <w:r>
        <w:t xml:space="preserve">: un seul et même modèle avec les deux variables explicatives principales (taxes environnementales et feed in tariffs) et les variables de contrôle </w:t>
      </w:r>
    </w:p>
    <w:p/>
    <w:p>
      <w:r>
        <w:t>-Test de robustesse</w:t>
      </w:r>
    </w:p>
    <w:p/>
    <w:p/>
    <w:p>
      <w:pPr>
        <w:pStyle w:val="9"/>
        <w:numPr>
          <w:ilvl w:val="0"/>
          <w:numId w:val="2"/>
        </w:numPr>
        <w:rPr>
          <w:b/>
          <w:color w:val="000000" w:themeColor="text1"/>
          <w:u w:val="single"/>
          <w14:textFill>
            <w14:solidFill>
              <w14:schemeClr w14:val="tx1"/>
            </w14:solidFill>
          </w14:textFill>
        </w:rPr>
      </w:pPr>
      <w:r>
        <w:rPr>
          <w:b/>
          <w:u w:val="single"/>
        </w:rPr>
        <w:t xml:space="preserve">Variable dépendante : </w:t>
      </w:r>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8"/>
        <w:gridCol w:w="3019"/>
        <w:gridCol w:w="3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8" w:type="dxa"/>
          </w:tcPr>
          <w:p>
            <w:r>
              <w:t xml:space="preserve">Investissements pour la protection de l’environnement de l’ensemble de l’économie </w:t>
            </w:r>
          </w:p>
        </w:tc>
        <w:tc>
          <w:tcPr>
            <w:tcW w:w="3019" w:type="dxa"/>
          </w:tcPr>
          <w:p>
            <w:r>
              <w:t xml:space="preserve">Données disponibles sur Eurostat </w:t>
            </w:r>
          </w:p>
        </w:tc>
        <w:tc>
          <w:tcPr>
            <w:tcW w:w="3019" w:type="dxa"/>
          </w:tcPr>
          <w:p>
            <w:r>
              <w:t>-en millions d’euros</w:t>
            </w:r>
          </w:p>
          <w:p/>
        </w:tc>
      </w:tr>
    </w:tbl>
    <w:p/>
    <w:p>
      <w:r>
        <w:fldChar w:fldCharType="begin"/>
      </w:r>
      <w:r>
        <w:instrText xml:space="preserve"> HYPERLINK "https://ec.europa.eu/eurostat/databrowser/view/env_ac_epite/default/table?lang=fr" </w:instrText>
      </w:r>
      <w:r>
        <w:fldChar w:fldCharType="separate"/>
      </w:r>
      <w:r>
        <w:rPr>
          <w:rStyle w:val="3"/>
        </w:rPr>
        <w:t>https://ec.europa.eu/eurostat/databrowser/view/env_ac_epite/default/table?lang=fr</w:t>
      </w:r>
      <w:r>
        <w:rPr>
          <w:rStyle w:val="3"/>
        </w:rPr>
        <w:fldChar w:fldCharType="end"/>
      </w:r>
    </w:p>
    <w:p/>
    <w:p>
      <w:r>
        <w:t xml:space="preserve">Elle mesure les ressources consacrées par les unités résidentes à la protection de l’environnement naturel. Regroupe les opérations liées à la prévention, à la réduction et à l’élimination de la pollution et de toute autre dégradation de l’environnement (Gestion des eaux usées ; gestion des déchets ; protection et assainissement du sol, des eaux souterraines et des eaux de surface ; réduction du bruit et des vibrations ; protection de la biodiversité et des paysages ; protection contre les radiations ; R&amp;D en matière d’environnement ; autres activités de protection de l’environnement). </w:t>
      </w:r>
    </w:p>
    <w:p>
      <w:pPr>
        <w:pStyle w:val="9"/>
        <w:rPr>
          <w:b/>
          <w:color w:val="000000" w:themeColor="text1"/>
          <w:u w:val="single"/>
          <w14:textFill>
            <w14:solidFill>
              <w14:schemeClr w14:val="tx1"/>
            </w14:solidFill>
          </w14:textFill>
        </w:rPr>
      </w:pPr>
    </w:p>
    <w:p>
      <w:pPr>
        <w:pStyle w:val="9"/>
        <w:numPr>
          <w:ilvl w:val="0"/>
          <w:numId w:val="2"/>
        </w:numPr>
        <w:rPr>
          <w:b/>
          <w:color w:val="000000" w:themeColor="text1"/>
          <w:u w:val="single"/>
          <w14:textFill>
            <w14:solidFill>
              <w14:schemeClr w14:val="tx1"/>
            </w14:solidFill>
          </w14:textFill>
        </w:rPr>
      </w:pPr>
      <w:r>
        <w:rPr>
          <w:b/>
        </w:rPr>
        <w:t>Première Variable explicative principale</w:t>
      </w:r>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4"/>
        <w:gridCol w:w="2761"/>
        <w:gridCol w:w="2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4" w:type="dxa"/>
          </w:tcPr>
          <w:p>
            <w:r>
              <w:t>Taxes environnementales</w:t>
            </w:r>
          </w:p>
          <w:p>
            <w:r>
              <w:t>-total des écotaxes</w:t>
            </w:r>
          </w:p>
          <w:p>
            <w:r>
              <w:t xml:space="preserve">-taxes sur la pollution </w:t>
            </w:r>
          </w:p>
          <w:p>
            <w:r>
              <w:t xml:space="preserve">-taxes sur l’énergie </w:t>
            </w:r>
          </w:p>
          <w:p>
            <w:r>
              <w:t xml:space="preserve">-taxes sur les transports </w:t>
            </w:r>
          </w:p>
        </w:tc>
        <w:tc>
          <w:tcPr>
            <w:tcW w:w="2761" w:type="dxa"/>
          </w:tcPr>
          <w:p>
            <w:r>
              <w:t xml:space="preserve">Données disponibles sur Eurostat </w:t>
            </w:r>
          </w:p>
        </w:tc>
        <w:tc>
          <w:tcPr>
            <w:tcW w:w="2761" w:type="dxa"/>
          </w:tcPr>
          <w:p>
            <w:r>
              <w:t xml:space="preserve">-en millions d’euros </w:t>
            </w:r>
          </w:p>
          <w:p/>
        </w:tc>
      </w:tr>
    </w:tbl>
    <w:p/>
    <w:p>
      <w:r>
        <w:t>https://ec.europa.eu/eurostat/databrowser/view/env_ac_taxind2/default/table?lang=fr</w:t>
      </w:r>
    </w:p>
    <w:p>
      <w:pPr>
        <w:pStyle w:val="9"/>
        <w:rPr>
          <w:b/>
          <w:color w:val="000000" w:themeColor="text1"/>
          <w:u w:val="single"/>
          <w14:textFill>
            <w14:solidFill>
              <w14:schemeClr w14:val="tx1"/>
            </w14:solidFill>
          </w14:textFill>
        </w:rPr>
      </w:pPr>
    </w:p>
    <w:p>
      <w:pPr>
        <w:pStyle w:val="9"/>
        <w:rPr>
          <w:b/>
          <w:color w:val="000000" w:themeColor="text1"/>
          <w:u w:val="single"/>
          <w14:textFill>
            <w14:solidFill>
              <w14:schemeClr w14:val="tx1"/>
            </w14:solidFill>
          </w14:textFill>
        </w:rPr>
      </w:pPr>
    </w:p>
    <w:p>
      <w:pPr>
        <w:pStyle w:val="9"/>
        <w:numPr>
          <w:ilvl w:val="0"/>
          <w:numId w:val="2"/>
        </w:numPr>
        <w:rPr>
          <w:b/>
          <w:color w:val="000000" w:themeColor="text1"/>
          <w:u w:val="single"/>
          <w14:textFill>
            <w14:solidFill>
              <w14:schemeClr w14:val="tx1"/>
            </w14:solidFill>
          </w14:textFill>
        </w:rPr>
      </w:pPr>
      <w:r>
        <w:rPr>
          <w:b/>
        </w:rPr>
        <w:t>Deuxième Variable explicative principale </w:t>
      </w:r>
      <w:r>
        <w:t xml:space="preserve">: </w:t>
      </w:r>
    </w:p>
    <w:p>
      <w:pPr>
        <w:pStyle w:val="9"/>
        <w:rPr>
          <w:b/>
          <w:color w:val="000000" w:themeColor="text1"/>
          <w:u w:val="single"/>
          <w14:textFill>
            <w14:solidFill>
              <w14:schemeClr w14:val="tx1"/>
            </w14:solidFill>
          </w14:textFill>
        </w:rPr>
      </w:pPr>
    </w:p>
    <w:tbl>
      <w:tblPr>
        <w:tblStyle w:val="10"/>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7"/>
        <w:gridCol w:w="2839"/>
        <w:gridCol w:w="2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pStyle w:val="9"/>
              <w:ind w:left="0"/>
            </w:pPr>
            <w:r>
              <w:t xml:space="preserve">Feed in Tariff </w:t>
            </w:r>
          </w:p>
        </w:tc>
        <w:tc>
          <w:tcPr>
            <w:tcW w:w="2839" w:type="dxa"/>
          </w:tcPr>
          <w:p>
            <w:pPr>
              <w:pStyle w:val="9"/>
              <w:ind w:left="0"/>
            </w:pPr>
            <w:r>
              <w:t xml:space="preserve">Données disponibles sur OCDE </w:t>
            </w:r>
          </w:p>
        </w:tc>
        <w:tc>
          <w:tcPr>
            <w:tcW w:w="2722" w:type="dxa"/>
          </w:tcPr>
          <w:p>
            <w:pPr>
              <w:pStyle w:val="9"/>
              <w:ind w:left="0"/>
            </w:pPr>
            <w:r>
              <w:rPr>
                <w:color w:val="FF0000"/>
              </w:rPr>
              <w:t xml:space="preserve">Dollars US </w:t>
            </w:r>
          </w:p>
        </w:tc>
      </w:tr>
    </w:tbl>
    <w:p>
      <w:pPr>
        <w:pStyle w:val="9"/>
      </w:pPr>
    </w:p>
    <w:p>
      <w:pPr>
        <w:rPr>
          <w:b/>
          <w:color w:val="000000" w:themeColor="text1"/>
          <w14:textFill>
            <w14:solidFill>
              <w14:schemeClr w14:val="tx1"/>
            </w14:solidFill>
          </w14:textFill>
        </w:rPr>
      </w:pPr>
      <w:r>
        <w:fldChar w:fldCharType="begin"/>
      </w:r>
      <w:r>
        <w:instrText xml:space="preserve"> HYPERLINK "https://stats.oecd.org/?lang=fr" </w:instrText>
      </w:r>
      <w:r>
        <w:fldChar w:fldCharType="separate"/>
      </w:r>
      <w:r>
        <w:rPr>
          <w:rStyle w:val="3"/>
          <w:color w:val="000000" w:themeColor="text1"/>
          <w:u w:val="none"/>
          <w14:textFill>
            <w14:solidFill>
              <w14:schemeClr w14:val="tx1"/>
            </w14:solidFill>
          </w14:textFill>
        </w:rPr>
        <w:t>https://stats.oecd.org/?lang=fr</w:t>
      </w:r>
      <w:r>
        <w:rPr>
          <w:rStyle w:val="3"/>
          <w:color w:val="000000" w:themeColor="text1"/>
          <w:u w:val="none"/>
          <w14:textFill>
            <w14:solidFill>
              <w14:schemeClr w14:val="tx1"/>
            </w14:solidFill>
          </w14:textFill>
        </w:rPr>
        <w:fldChar w:fldCharType="end"/>
      </w:r>
      <w:r>
        <w:rPr>
          <w:color w:val="000000" w:themeColor="text1"/>
          <w14:textFill>
            <w14:solidFill>
              <w14:schemeClr w14:val="tx1"/>
            </w14:solidFill>
          </w14:textFill>
        </w:rPr>
        <w:t xml:space="preserve"> </w:t>
      </w:r>
    </w:p>
    <w:p>
      <w:pPr>
        <w:pStyle w:val="9"/>
        <w:rPr>
          <w:b/>
          <w:color w:val="000000" w:themeColor="text1"/>
          <w:u w:val="single"/>
          <w14:textFill>
            <w14:solidFill>
              <w14:schemeClr w14:val="tx1"/>
            </w14:solidFill>
          </w14:textFill>
        </w:rPr>
      </w:pPr>
    </w:p>
    <w:p>
      <w:pPr>
        <w:pStyle w:val="9"/>
        <w:rPr>
          <w:b/>
          <w:color w:val="000000" w:themeColor="text1"/>
          <w:u w:val="single"/>
          <w14:textFill>
            <w14:solidFill>
              <w14:schemeClr w14:val="tx1"/>
            </w14:solidFill>
          </w14:textFill>
        </w:rPr>
      </w:pPr>
    </w:p>
    <w:p>
      <w:pPr>
        <w:pStyle w:val="9"/>
        <w:numPr>
          <w:ilvl w:val="0"/>
          <w:numId w:val="2"/>
        </w:numPr>
        <w:rPr>
          <w:b/>
          <w:color w:val="000000" w:themeColor="text1"/>
          <w:u w:val="single"/>
          <w14:textFill>
            <w14:solidFill>
              <w14:schemeClr w14:val="tx1"/>
            </w14:solidFill>
          </w14:textFill>
        </w:rPr>
      </w:pPr>
      <w:r>
        <w:rPr>
          <w:b/>
        </w:rPr>
        <w:t>Variables de contrôle (à tester voir celles à garder) :</w:t>
      </w:r>
      <w:r>
        <w:t xml:space="preserve"> </w:t>
      </w:r>
    </w:p>
    <w:p>
      <w:pPr>
        <w:rPr>
          <w:b/>
          <w:color w:val="000000" w:themeColor="text1"/>
          <w:u w:val="single"/>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7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8" w:type="dxa"/>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Variables</w:t>
            </w:r>
          </w:p>
        </w:tc>
        <w:tc>
          <w:tcPr>
            <w:tcW w:w="3019" w:type="dxa"/>
          </w:tcPr>
          <w:p>
            <w:pPr>
              <w:jc w:val="center"/>
              <w:rPr>
                <w:b/>
                <w:color w:val="000000" w:themeColor="text1"/>
                <w14:textFill>
                  <w14:solidFill>
                    <w14:schemeClr w14:val="tx1"/>
                  </w14:solidFill>
                </w14:textFill>
              </w:rPr>
            </w:pPr>
            <w:r>
              <w:rPr>
                <w:b/>
                <w:color w:val="000000" w:themeColor="text1"/>
                <w14:textFill>
                  <w14:solidFill>
                    <w14:schemeClr w14:val="tx1"/>
                  </w14:solidFill>
                </w14:textFill>
              </w:rPr>
              <w:t>Données disponibles sur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8" w:type="dxa"/>
          </w:tcPr>
          <w:p>
            <w:pPr>
              <w:jc w:val="center"/>
              <w:rPr>
                <w:strike/>
                <w:color w:val="000000" w:themeColor="text1"/>
                <w14:textFill>
                  <w14:solidFill>
                    <w14:schemeClr w14:val="tx1"/>
                  </w14:solidFill>
                </w14:textFill>
              </w:rPr>
            </w:pPr>
            <w:r>
              <w:rPr>
                <w:strike/>
                <w:color w:val="000000" w:themeColor="text1"/>
                <w14:textFill>
                  <w14:solidFill>
                    <w14:schemeClr w14:val="tx1"/>
                  </w14:solidFill>
                </w14:textFill>
              </w:rPr>
              <w:t>Revenu</w:t>
            </w:r>
          </w:p>
        </w:tc>
        <w:tc>
          <w:tcPr>
            <w:tcW w:w="3019" w:type="dxa"/>
          </w:tcPr>
          <w:p>
            <w:pPr>
              <w:jc w:val="center"/>
              <w:rPr>
                <w:strike/>
                <w:color w:val="000000" w:themeColor="text1"/>
                <w14:textFill>
                  <w14:solidFill>
                    <w14:schemeClr w14:val="tx1"/>
                  </w14:solidFill>
                </w14:textFill>
              </w:rPr>
            </w:pPr>
            <w:r>
              <w:rPr>
                <w:strike/>
                <w:color w:val="000000" w:themeColor="text1"/>
                <w14:textFill>
                  <w14:solidFill>
                    <w14:schemeClr w14:val="tx1"/>
                  </w14:solidFill>
                </w14:textFill>
              </w:rPr>
              <w:t>banque mondiale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3018"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GPD per capita</w:t>
            </w:r>
          </w:p>
        </w:tc>
        <w:tc>
          <w:tcPr>
            <w:tcW w:w="3019" w:type="dxa"/>
          </w:tcPr>
          <w:p>
            <w:pPr>
              <w:jc w:val="center"/>
            </w:pPr>
            <w:r>
              <w:rPr>
                <w:color w:val="000000" w:themeColor="text1"/>
                <w14:textFill>
                  <w14:solidFill>
                    <w14:schemeClr w14:val="tx1"/>
                  </w14:solidFill>
                </w14:textFill>
              </w:rPr>
              <w:t xml:space="preserve">Banque mondiale / package wbstats sur R : </w:t>
            </w:r>
            <w:r>
              <w:t>variable NY.GDP.PCAP.CD</w:t>
            </w:r>
          </w:p>
          <w:p>
            <w:pPr>
              <w:jc w:val="center"/>
              <w:rPr>
                <w:color w:val="000000" w:themeColor="text1"/>
                <w14:textFill>
                  <w14:solidFill>
                    <w14:schemeClr w14:val="tx1"/>
                  </w14:solidFill>
                </w14:textFill>
              </w:rPr>
            </w:pPr>
            <w:r>
              <w:rPr>
                <w:color w:val="FF0000"/>
              </w:rPr>
              <w:t xml:space="preserve">$US courants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8"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GDP Growth</w:t>
            </w:r>
          </w:p>
        </w:tc>
        <w:tc>
          <w:tcPr>
            <w:tcW w:w="3019"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Banque mondiale </w:t>
            </w:r>
            <w:r>
              <w:t xml:space="preserve">package wbstats sur R :  variable NY.GDP.MKTP.KD.ZG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8"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Population active avec un niveau d’études supérieur (% de la pop active)</w:t>
            </w:r>
          </w:p>
        </w:tc>
        <w:tc>
          <w:tcPr>
            <w:tcW w:w="3019"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Banque mondiale  package wbstats variable SL.TLF.ADVN.ZS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8" w:type="dxa"/>
          </w:tcPr>
          <w:p>
            <w:pPr>
              <w:jc w:val="center"/>
              <w:rPr>
                <w:color w:val="000000" w:themeColor="text1"/>
                <w14:textFill>
                  <w14:solidFill>
                    <w14:schemeClr w14:val="tx1"/>
                  </w14:solidFill>
                </w14:textFill>
              </w:rPr>
            </w:pPr>
            <w:r>
              <w:rPr>
                <w:color w:val="000000" w:themeColor="text1"/>
                <w:highlight w:val="yellow"/>
                <w14:textFill>
                  <w14:solidFill>
                    <w14:schemeClr w14:val="tx1"/>
                  </w14:solidFill>
                </w14:textFill>
              </w:rPr>
              <w:t>Prix à la pompe de l’essence</w:t>
            </w:r>
          </w:p>
        </w:tc>
        <w:tc>
          <w:tcPr>
            <w:tcW w:w="3019"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Banque mondiale   package wbstats variable EP.PMP.SGAS.CD</w:t>
            </w:r>
          </w:p>
          <w:p>
            <w:pPr>
              <w:jc w:val="center"/>
              <w:rPr>
                <w:color w:val="000000" w:themeColor="text1"/>
                <w14:textFill>
                  <w14:solidFill>
                    <w14:schemeClr w14:val="tx1"/>
                  </w14:solidFill>
                </w14:textFill>
              </w:rPr>
            </w:pPr>
          </w:p>
          <w:p>
            <w:pPr>
              <w:jc w:val="center"/>
              <w:rPr>
                <w:color w:val="FF0000"/>
              </w:rPr>
            </w:pPr>
            <w:r>
              <w:rPr>
                <w:color w:val="FF0000"/>
              </w:rPr>
              <w:t xml:space="preserve">$US par litre </w:t>
            </w:r>
          </w:p>
          <w:p>
            <w:p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8" w:type="dxa"/>
          </w:tcPr>
          <w:p>
            <w:pPr>
              <w:jc w:val="center"/>
              <w:rPr>
                <w:color w:val="000000" w:themeColor="text1"/>
                <w14:textFill>
                  <w14:solidFill>
                    <w14:schemeClr w14:val="tx1"/>
                  </w14:solidFill>
                </w14:textFill>
              </w:rPr>
            </w:pPr>
            <w:r>
              <w:rPr>
                <w:color w:val="000000" w:themeColor="text1"/>
                <w:highlight w:val="yellow"/>
                <w14:textFill>
                  <w14:solidFill>
                    <w14:schemeClr w14:val="tx1"/>
                  </w14:solidFill>
                </w14:textFill>
              </w:rPr>
              <w:t>Dépendance aux importations énergétiques par produits</w:t>
            </w:r>
          </w:p>
        </w:tc>
        <w:tc>
          <w:tcPr>
            <w:tcW w:w="3019"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Eurostat</w:t>
            </w: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r>
              <w:t>https://ec.europa.eu/eurostat/databrowser/view/sdg_07_50/default/table?lang=fr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8"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Population</w:t>
            </w:r>
          </w:p>
        </w:tc>
        <w:tc>
          <w:tcPr>
            <w:tcW w:w="3019"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Banque mondiale </w:t>
            </w:r>
            <w:r>
              <w:t xml:space="preserve">package wbstats sur R (variable SP.POP.TOTL)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8"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Qualité de la réglementation</w:t>
            </w:r>
          </w:p>
        </w:tc>
        <w:tc>
          <w:tcPr>
            <w:tcW w:w="3019"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 xml:space="preserve">Banque mondiale </w:t>
            </w:r>
            <w:r>
              <w:t>package wbstat sur R ( variable RQ.EST)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8"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Contrôle de la corruption</w:t>
            </w:r>
          </w:p>
        </w:tc>
        <w:tc>
          <w:tcPr>
            <w:tcW w:w="3019" w:type="dxa"/>
          </w:tcPr>
          <w:p>
            <w:pPr>
              <w:jc w:val="center"/>
              <w:rPr>
                <w:strike/>
                <w:color w:val="000000" w:themeColor="text1"/>
                <w14:textFill>
                  <w14:solidFill>
                    <w14:schemeClr w14:val="tx1"/>
                  </w14:solidFill>
                </w14:textFill>
              </w:rPr>
            </w:pPr>
            <w:r>
              <w:rPr>
                <w:strike/>
                <w:color w:val="000000" w:themeColor="text1"/>
                <w14:textFill>
                  <w14:solidFill>
                    <w14:schemeClr w14:val="tx1"/>
                  </w14:solidFill>
                </w14:textFill>
              </w:rPr>
              <w:t>Banque mondiale package wbstats sur R (variable CC.EST)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8" w:type="dxa"/>
          </w:tcPr>
          <w:p>
            <w:pPr>
              <w:jc w:val="center"/>
              <w:rPr>
                <w:color w:val="000000" w:themeColor="text1"/>
                <w14:textFill>
                  <w14:solidFill>
                    <w14:schemeClr w14:val="tx1"/>
                  </w14:solidFill>
                </w14:textFill>
              </w:rPr>
            </w:pPr>
            <w:r>
              <w:rPr>
                <w:color w:val="000000" w:themeColor="text1"/>
                <w:highlight w:val="yellow"/>
                <w14:textFill>
                  <w14:solidFill>
                    <w14:schemeClr w14:val="tx1"/>
                  </w14:solidFill>
                </w14:textFill>
              </w:rPr>
              <w:t>Taux d’intérêt à CT</w:t>
            </w:r>
          </w:p>
        </w:tc>
        <w:tc>
          <w:tcPr>
            <w:tcW w:w="3019"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Eurostat</w:t>
            </w:r>
          </w:p>
          <w:p>
            <w:pPr>
              <w:jc w:val="center"/>
            </w:pPr>
            <w:r>
              <w:fldChar w:fldCharType="begin"/>
            </w:r>
            <w:r>
              <w:instrText xml:space="preserve"> HYPERLINK "https://ec.europa.eu/eurostat/databrowser/view/irt_st_a/default/table?lang=fr" </w:instrText>
            </w:r>
            <w:r>
              <w:fldChar w:fldCharType="separate"/>
            </w:r>
            <w:r>
              <w:rPr>
                <w:rStyle w:val="3"/>
              </w:rPr>
              <w:t>https://ec.europa.eu/eurostat/databrowser/view/irt_st_a/default/table?lang=fr</w:t>
            </w:r>
            <w:r>
              <w:rPr>
                <w:rStyle w:val="3"/>
              </w:rPr>
              <w:fldChar w:fldCharType="end"/>
            </w:r>
          </w:p>
          <w:p>
            <w:pPr>
              <w:jc w:val="center"/>
            </w:pPr>
          </w:p>
          <w:p>
            <w:pPr>
              <w:jc w:val="center"/>
              <w:rPr>
                <w:color w:val="000000" w:themeColor="text1"/>
                <w14:textFill>
                  <w14:solidFill>
                    <w14:schemeClr w14:val="tx1"/>
                  </w14:solidFill>
                </w14:textFill>
              </w:rPr>
            </w:pPr>
            <w:r>
              <w:rPr>
                <w:color w:val="000000" w:themeColor="text1"/>
                <w14:textFill>
                  <w14:solidFill>
                    <w14:schemeClr w14:val="tx1"/>
                  </w14:solidFill>
                </w14:textFill>
              </w:rPr>
              <w:t>https://ec.europa.eu/eurostat/databrowser/view/irt_lt_mcby_a/default/table?lang=fr</w:t>
            </w:r>
          </w:p>
        </w:tc>
      </w:tr>
    </w:tbl>
    <w:p>
      <w:pPr>
        <w:rPr>
          <w:b/>
          <w:color w:val="000000" w:themeColor="text1"/>
          <w:u w:val="single"/>
          <w14:textFill>
            <w14:solidFill>
              <w14:schemeClr w14:val="tx1"/>
            </w14:solidFill>
          </w14:textFill>
        </w:rPr>
      </w:pPr>
    </w:p>
    <w:p>
      <w:pPr>
        <w:rPr>
          <w:b/>
          <w:color w:val="000000" w:themeColor="text1"/>
          <w:u w:val="single"/>
          <w14:textFill>
            <w14:solidFill>
              <w14:schemeClr w14:val="tx1"/>
            </w14:solidFill>
          </w14:textFill>
        </w:rPr>
      </w:pPr>
    </w:p>
    <w:p>
      <w:pPr>
        <w:rPr>
          <w:b/>
          <w:color w:val="000000" w:themeColor="text1"/>
          <w:u w:val="single"/>
          <w14:textFill>
            <w14:solidFill>
              <w14:schemeClr w14:val="tx1"/>
            </w14:solidFill>
          </w14:textFill>
        </w:rPr>
      </w:pPr>
    </w:p>
    <w:p>
      <w:pPr>
        <w:rPr>
          <w:b/>
          <w:color w:val="000000" w:themeColor="text1"/>
          <w:u w:val="single"/>
          <w14:textFill>
            <w14:solidFill>
              <w14:schemeClr w14:val="tx1"/>
            </w14:solidFill>
          </w14:textFill>
        </w:rPr>
      </w:pPr>
    </w:p>
    <w:p>
      <w:pPr>
        <w:pStyle w:val="9"/>
        <w:numPr>
          <w:ilvl w:val="0"/>
          <w:numId w:val="2"/>
        </w:numPr>
        <w:rPr>
          <w:b/>
          <w:color w:val="000000" w:themeColor="text1"/>
          <w:u w:val="single"/>
          <w14:textFill>
            <w14:solidFill>
              <w14:schemeClr w14:val="tx1"/>
            </w14:solidFill>
          </w14:textFill>
        </w:rPr>
      </w:pPr>
      <w:r>
        <w:rPr>
          <w:b/>
          <w:color w:val="000000" w:themeColor="text1"/>
          <w:u w:val="single"/>
          <w14:textFill>
            <w14:solidFill>
              <w14:schemeClr w14:val="tx1"/>
            </w14:solidFill>
          </w14:textFill>
        </w:rPr>
        <w:t xml:space="preserve">Revue de littérature </w:t>
      </w:r>
    </w:p>
    <w:p/>
    <w:p>
      <w:r>
        <w:rPr>
          <w:b/>
        </w:rPr>
        <w:t>Article de référence : « Green investment : trends and determinants </w:t>
      </w:r>
      <w:r>
        <w:t xml:space="preserve">» : Eyraud et al 2013 </w:t>
      </w:r>
    </w:p>
    <w:p/>
    <w:p>
      <w:pPr>
        <w:widowControl w:val="0"/>
        <w:autoSpaceDE w:val="0"/>
        <w:autoSpaceDN w:val="0"/>
        <w:adjustRightInd w:val="0"/>
        <w:rPr>
          <w:rFonts w:cs="Times New Roman"/>
          <w:b/>
        </w:rPr>
      </w:pPr>
      <w:r>
        <w:rPr>
          <w:b/>
        </w:rPr>
        <w:t>« </w:t>
      </w:r>
      <w:r>
        <w:rPr>
          <w:rFonts w:cs="Times New Roman"/>
          <w:b/>
        </w:rPr>
        <w:t>Public appeal, environmental regulation and green investment: Evidence</w:t>
      </w:r>
    </w:p>
    <w:p>
      <w:r>
        <w:rPr>
          <w:rFonts w:cs="Times New Roman"/>
          <w:b/>
        </w:rPr>
        <w:t>from China </w:t>
      </w:r>
      <w:r>
        <w:rPr>
          <w:rFonts w:cs="Times New Roman"/>
        </w:rPr>
        <w:t xml:space="preserve">» Xianchun Liao , Xunpeng (Roc) Shi 2018 </w:t>
      </w:r>
    </w:p>
    <w:p/>
    <w:p>
      <w:pPr>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Envronmental Impacts of a North American Free Trade Agreement </w:t>
      </w:r>
      <w:r>
        <w:rPr>
          <w:color w:val="000000" w:themeColor="text1"/>
          <w14:textFill>
            <w14:solidFill>
              <w14:schemeClr w14:val="tx1"/>
            </w14:solidFill>
          </w14:textFill>
        </w:rPr>
        <w:t xml:space="preserve">» Gene M. Grossman et Alan B. Krueger, 1991 </w:t>
      </w:r>
    </w:p>
    <w:p/>
    <w:p>
      <w:pPr>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Determinants of environemental innovation in US manufacturing industries </w:t>
      </w:r>
      <w:r>
        <w:rPr>
          <w:color w:val="000000" w:themeColor="text1"/>
          <w14:textFill>
            <w14:solidFill>
              <w14:schemeClr w14:val="tx1"/>
            </w14:solidFill>
          </w14:textFill>
        </w:rPr>
        <w:t xml:space="preserve">»Smita B. Brunnermeiera,b,* and Mark A. Cohen 2003.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b/>
          <w:color w:val="000000" w:themeColor="text1"/>
          <w14:textFill>
            <w14:solidFill>
              <w14:schemeClr w14:val="tx1"/>
            </w14:solidFill>
          </w14:textFill>
        </w:rPr>
        <w:t>« Green and competitive ending the stalemate </w:t>
      </w:r>
      <w:r>
        <w:rPr>
          <w:color w:val="000000" w:themeColor="text1"/>
          <w14:textFill>
            <w14:solidFill>
              <w14:schemeClr w14:val="tx1"/>
            </w14:solidFill>
          </w14:textFill>
        </w:rPr>
        <w:t>» Porter et van der Linde 1995 </w:t>
      </w:r>
    </w:p>
    <w:p>
      <w:pPr>
        <w:pStyle w:val="6"/>
        <w:rPr>
          <w:rFonts w:asciiTheme="minorHAnsi" w:hAnsiTheme="minorHAnsi"/>
        </w:rPr>
      </w:pPr>
      <w:r>
        <w:rPr>
          <w:rFonts w:asciiTheme="minorHAnsi" w:hAnsiTheme="minorHAnsi"/>
          <w:b/>
          <w:bCs/>
        </w:rPr>
        <w:t>« The Interaction of Population Growth and Environmental Quality »</w:t>
      </w:r>
      <w:r>
        <w:rPr>
          <w:rFonts w:asciiTheme="minorHAnsi" w:hAnsiTheme="minorHAnsi"/>
        </w:rPr>
        <w:t xml:space="preserve">Maureen Cropper; Charles Griffiths  1994 </w:t>
      </w:r>
    </w:p>
    <w:p>
      <w:r>
        <w:rPr>
          <w:b/>
          <w:color w:val="000000" w:themeColor="text1"/>
          <w14:textFill>
            <w14:solidFill>
              <w14:schemeClr w14:val="tx1"/>
            </w14:solidFill>
          </w14:textFill>
        </w:rPr>
        <w:t>« When and Why does it pay to be green ? »</w:t>
      </w:r>
      <w:r>
        <w:rPr>
          <w:color w:val="000000" w:themeColor="text1"/>
          <w14:textFill>
            <w14:solidFill>
              <w14:schemeClr w14:val="tx1"/>
            </w14:solidFill>
          </w14:textFill>
        </w:rPr>
        <w:t xml:space="preserve"> Lanoie, Ambec et Scott 2007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b/>
          <w:color w:val="000000" w:themeColor="text1"/>
          <w14:textFill>
            <w14:solidFill>
              <w14:schemeClr w14:val="tx1"/>
            </w14:solidFill>
          </w14:textFill>
        </w:rPr>
        <w:t>« A strategy for restoring confidence and economic growth through green investment and innovation »</w:t>
      </w:r>
      <w:r>
        <w:rPr>
          <w:color w:val="000000" w:themeColor="text1"/>
          <w14:textFill>
            <w14:solidFill>
              <w14:schemeClr w14:val="tx1"/>
            </w14:solidFill>
          </w14:textFill>
        </w:rPr>
        <w:t xml:space="preserve"> Dimitri Zenghelis 2012 </w:t>
      </w:r>
    </w:p>
    <w:p/>
    <w:p>
      <w:r>
        <w:t>« </w:t>
      </w:r>
      <w:r>
        <w:rPr>
          <w:b/>
        </w:rPr>
        <w:t>Determinants of environmental innovation in US manufacturing industries </w:t>
      </w:r>
      <w:r>
        <w:t xml:space="preserve">» Smita B. Brunnermeiera,b,* and Mark A. Cohen 2003 </w:t>
      </w:r>
    </w:p>
    <w:p/>
    <w:p>
      <w:pPr>
        <w:rPr>
          <w:color w:val="000000" w:themeColor="text1"/>
          <w14:textFill>
            <w14:solidFill>
              <w14:schemeClr w14:val="tx1"/>
            </w14:solidFill>
          </w14:textFill>
        </w:rPr>
      </w:pPr>
      <w:r>
        <w:rPr>
          <w:b/>
          <w:color w:val="000000" w:themeColor="text1"/>
          <w14:textFill>
            <w14:solidFill>
              <w14:schemeClr w14:val="tx1"/>
            </w14:solidFill>
          </w14:textFill>
        </w:rPr>
        <w:t xml:space="preserve">« No green growth without innovation » : </w:t>
      </w:r>
      <w:r>
        <w:rPr>
          <w:color w:val="000000" w:themeColor="text1"/>
          <w14:textFill>
            <w14:solidFill>
              <w14:schemeClr w14:val="tx1"/>
            </w14:solidFill>
          </w14:textFill>
        </w:rPr>
        <w:t xml:space="preserve">Aghion, Hemous, Veugelers 2009 </w:t>
      </w:r>
    </w:p>
    <w:p>
      <w:pPr>
        <w:pStyle w:val="6"/>
        <w:rPr>
          <w:rFonts w:asciiTheme="minorHAnsi" w:hAnsiTheme="minorHAnsi"/>
        </w:rPr>
      </w:pPr>
      <w:r>
        <w:rPr>
          <w:rFonts w:asciiTheme="minorHAnsi" w:hAnsiTheme="minorHAnsi"/>
          <w:color w:val="000000" w:themeColor="text1"/>
          <w14:textFill>
            <w14:solidFill>
              <w14:schemeClr w14:val="tx1"/>
            </w14:solidFill>
          </w14:textFill>
        </w:rPr>
        <w:t>« </w:t>
      </w:r>
      <w:r>
        <w:rPr>
          <w:rFonts w:asciiTheme="minorHAnsi" w:hAnsiTheme="minorHAnsi"/>
          <w:b/>
          <w:color w:val="000000" w:themeColor="text1"/>
          <w14:textFill>
            <w14:solidFill>
              <w14:schemeClr w14:val="tx1"/>
            </w14:solidFill>
          </w14:textFill>
        </w:rPr>
        <w:t>Implications of fiscal and financial policies for unlocking green finance and green investment </w:t>
      </w:r>
      <w:r>
        <w:rPr>
          <w:rFonts w:asciiTheme="minorHAnsi" w:hAnsiTheme="minorHAnsi"/>
          <w:color w:val="000000" w:themeColor="text1"/>
          <w14:textFill>
            <w14:solidFill>
              <w14:schemeClr w14:val="tx1"/>
            </w14:solidFill>
          </w14:textFill>
        </w:rPr>
        <w:t xml:space="preserve">» </w:t>
      </w:r>
      <w:r>
        <w:rPr>
          <w:rFonts w:cs="ArialMT" w:asciiTheme="minorHAnsi" w:hAnsiTheme="minorHAnsi"/>
        </w:rPr>
        <w:t>Dina Azhgaliyeva, Zhanna Kapsaplyamova, and Linda Low 2018</w:t>
      </w:r>
    </w:p>
    <w:p>
      <w:pPr>
        <w:pStyle w:val="6"/>
        <w:rPr>
          <w:rFonts w:asciiTheme="minorHAnsi" w:hAnsiTheme="minorHAnsi"/>
        </w:rPr>
      </w:pPr>
      <w:r>
        <w:rPr>
          <w:rFonts w:asciiTheme="minorHAnsi" w:hAnsiTheme="minorHAnsi"/>
        </w:rPr>
        <w:t>« </w:t>
      </w:r>
      <w:r>
        <w:rPr>
          <w:rFonts w:asciiTheme="minorHAnsi" w:hAnsiTheme="minorHAnsi"/>
          <w:b/>
        </w:rPr>
        <w:t>Financing Renewable Energy: Who is Financing What and Why it Matters </w:t>
      </w:r>
      <w:r>
        <w:rPr>
          <w:rFonts w:asciiTheme="minorHAnsi" w:hAnsiTheme="minorHAnsi"/>
        </w:rPr>
        <w:t xml:space="preserve">» Mazzucato et Semieniuk 2017 </w:t>
      </w:r>
    </w:p>
    <w:p>
      <w:pPr>
        <w:pStyle w:val="6"/>
        <w:rPr>
          <w:rFonts w:asciiTheme="minorHAnsi" w:hAnsiTheme="minorHAnsi"/>
        </w:rPr>
      </w:pPr>
      <w:r>
        <w:rPr>
          <w:rFonts w:asciiTheme="minorHAnsi" w:hAnsiTheme="minorHAnsi"/>
          <w:b/>
        </w:rPr>
        <w:t>« Defining and Measuring Green Investments : Implications for Institutional Investors’ Asset Allocations </w:t>
      </w:r>
      <w:r>
        <w:rPr>
          <w:rFonts w:asciiTheme="minorHAnsi" w:hAnsiTheme="minorHAnsi"/>
        </w:rPr>
        <w:t xml:space="preserve">» OCDE Georg Inderst, Christopher Kaminker et Fiona Stewart 2012. </w:t>
      </w:r>
    </w:p>
    <w:p>
      <w:pPr>
        <w:pStyle w:val="6"/>
        <w:rPr>
          <w:rFonts w:asciiTheme="minorHAnsi" w:hAnsiTheme="minorHAnsi"/>
        </w:rPr>
      </w:pPr>
      <w:r>
        <w:rPr>
          <w:rFonts w:asciiTheme="minorHAnsi" w:hAnsiTheme="minorHAnsi"/>
        </w:rPr>
        <w:t>« </w:t>
      </w:r>
      <w:r>
        <w:rPr>
          <w:rFonts w:asciiTheme="minorHAnsi" w:hAnsiTheme="minorHAnsi"/>
          <w:b/>
        </w:rPr>
        <w:t>Towards a Green investment policy framework : the case of low carbon, climate-resiient infrastructure </w:t>
      </w:r>
      <w:r>
        <w:rPr>
          <w:rFonts w:asciiTheme="minorHAnsi" w:hAnsiTheme="minorHAnsi"/>
        </w:rPr>
        <w:t xml:space="preserve">» OCDE Corfee-Morlot, Marchal, Kauffmann, Kennedy, Stewart, Kaminker, Ang 2012 </w:t>
      </w:r>
    </w:p>
    <w:p>
      <w:pPr>
        <w:rPr>
          <w:b/>
        </w:rPr>
      </w:pPr>
      <w:r>
        <w:rPr>
          <w:b/>
        </w:rPr>
        <w:t>« Green supply chain coordination considering governmentintervention, green investment, and customer green preferences inthe petroleum industry »</w:t>
      </w:r>
      <w:r>
        <w:t xml:space="preserve"> Zhang et Yousaf 2020 </w:t>
      </w:r>
    </w:p>
    <w:p/>
    <w:p>
      <w:r>
        <w:t>« </w:t>
      </w:r>
      <w:r>
        <w:rPr>
          <w:rFonts w:cs="êæUˇ"/>
          <w:b/>
        </w:rPr>
        <w:t>Climate Policy and the Recovery</w:t>
      </w:r>
      <w:r>
        <w:rPr>
          <w:b/>
        </w:rPr>
        <w:t> </w:t>
      </w:r>
      <w:r>
        <w:t xml:space="preserve">» </w:t>
      </w:r>
      <w:r>
        <w:rPr>
          <w:rFonts w:cs="êæUˇ"/>
          <w:color w:val="000000" w:themeColor="text1"/>
          <w14:textFill>
            <w14:solidFill>
              <w14:schemeClr w14:val="tx1"/>
            </w14:solidFill>
          </w14:textFill>
        </w:rPr>
        <w:t xml:space="preserve">Benjamin Jones et  Michael Keen  2009 </w:t>
      </w:r>
    </w:p>
    <w:p>
      <w:pPr>
        <w:pStyle w:val="6"/>
        <w:rPr>
          <w:rFonts w:asciiTheme="minorHAnsi" w:hAnsiTheme="minorHAnsi"/>
        </w:rPr>
      </w:pPr>
      <w:r>
        <w:rPr>
          <w:rFonts w:asciiTheme="minorHAnsi" w:hAnsiTheme="minorHAnsi"/>
          <w:b/>
        </w:rPr>
        <w:t>« An outline of the case for a « green » stimulus » </w:t>
      </w:r>
      <w:r>
        <w:rPr>
          <w:rFonts w:asciiTheme="minorHAnsi" w:hAnsiTheme="minorHAnsi"/>
        </w:rPr>
        <w:t xml:space="preserve">: Bowen, Fankhauser, Stern, Zenghelis 2009 </w:t>
      </w:r>
    </w:p>
    <w:p>
      <w:pPr>
        <w:widowControl w:val="0"/>
        <w:autoSpaceDE w:val="0"/>
        <w:autoSpaceDN w:val="0"/>
        <w:adjustRightInd w:val="0"/>
        <w:rPr>
          <w:rFonts w:cs="Times New Roman"/>
        </w:rPr>
      </w:pPr>
      <w:r>
        <w:rPr>
          <w:rFonts w:cs="Times New Roman"/>
        </w:rPr>
        <w:t>« </w:t>
      </w:r>
      <w:r>
        <w:rPr>
          <w:rFonts w:cs="Times New Roman"/>
          <w:b/>
        </w:rPr>
        <w:t>An Economic Strategy to Address Climate Change and Promote Energy Security </w:t>
      </w:r>
      <w:r>
        <w:rPr>
          <w:rFonts w:cs="Times New Roman"/>
        </w:rPr>
        <w:t xml:space="preserve">» Furman, Jason, Jason Bordoff, Manasi Deshpande, and Pascal Noel, 2007, </w:t>
      </w:r>
    </w:p>
    <w:p>
      <w:pPr>
        <w:widowControl w:val="0"/>
        <w:autoSpaceDE w:val="0"/>
        <w:autoSpaceDN w:val="0"/>
        <w:adjustRightInd w:val="0"/>
        <w:rPr>
          <w:rFonts w:cs="Times New Roman"/>
        </w:rPr>
      </w:pPr>
    </w:p>
    <w:p>
      <w:pPr>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Reforming the Tax System to promote environmental objectives : An application to Mauritius</w:t>
      </w:r>
      <w:r>
        <w:rPr>
          <w:color w:val="000000" w:themeColor="text1"/>
          <w14:textFill>
            <w14:solidFill>
              <w14:schemeClr w14:val="tx1"/>
            </w14:solidFill>
          </w14:textFill>
        </w:rPr>
        <w:t xml:space="preserve"> » Parry 2011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Environmental Tax reform : Principles from theory and practice to date </w:t>
      </w:r>
      <w:r>
        <w:rPr>
          <w:color w:val="000000" w:themeColor="text1"/>
          <w14:textFill>
            <w14:solidFill>
              <w14:schemeClr w14:val="tx1"/>
            </w14:solidFill>
          </w14:textFill>
        </w:rPr>
        <w:t xml:space="preserve">» Parry, Norregaard et Heine 2012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Climate change, Investment and carbon markets and prices </w:t>
      </w:r>
      <w:r>
        <w:rPr>
          <w:color w:val="000000" w:themeColor="text1"/>
          <w14:textFill>
            <w14:solidFill>
              <w14:schemeClr w14:val="tx1"/>
            </w14:solidFill>
          </w14:textFill>
        </w:rPr>
        <w:t>» Martin, Muûls et Wagner 2011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Technology and the diffusion of renewable energy </w:t>
      </w:r>
      <w:r>
        <w:rPr>
          <w:color w:val="000000" w:themeColor="text1"/>
          <w14:textFill>
            <w14:solidFill>
              <w14:schemeClr w14:val="tx1"/>
            </w14:solidFill>
          </w14:textFill>
        </w:rPr>
        <w:t xml:space="preserve">» Popp, Hascic, Medhi 2009 </w:t>
      </w:r>
    </w:p>
    <w:p/>
    <w:p>
      <w:pPr>
        <w:rPr>
          <w:rFonts w:cs="Times New Roman"/>
        </w:rPr>
      </w:pPr>
      <w:r>
        <w:rPr>
          <w:b/>
        </w:rPr>
        <w:t>« </w:t>
      </w:r>
      <w:r>
        <w:rPr>
          <w:rFonts w:cs="Times New Roman"/>
          <w:b/>
        </w:rPr>
        <w:t>Renewable Energy Policies and Technological Innovation: Evidence Based on Patent Counts </w:t>
      </w:r>
      <w:r>
        <w:rPr>
          <w:rFonts w:cs="Times New Roman"/>
        </w:rPr>
        <w:t xml:space="preserve">» Johnstone, Hascic, Popp 2010 </w:t>
      </w:r>
    </w:p>
    <w:p>
      <w:pPr>
        <w:rPr>
          <w:rFonts w:cs="Times New Roman"/>
        </w:rPr>
      </w:pPr>
    </w:p>
    <w:p>
      <w:r>
        <w:rPr>
          <w:rFonts w:cs="Times New Roman"/>
        </w:rPr>
        <w:t>« </w:t>
      </w:r>
      <w:r>
        <w:rPr>
          <w:rFonts w:cs="Times New Roman"/>
          <w:b/>
        </w:rPr>
        <w:t>Environmental policies, competition and innovation in renewable energy </w:t>
      </w:r>
      <w:r>
        <w:rPr>
          <w:rFonts w:cs="Times New Roman"/>
        </w:rPr>
        <w:t>» Nesta, Vona et Nicolli 2014</w:t>
      </w:r>
    </w:p>
    <w:p/>
    <w:p>
      <w:r>
        <w:t xml:space="preserve">«  </w:t>
      </w:r>
      <w:r>
        <w:rPr>
          <w:b/>
        </w:rPr>
        <w:t>Towards a green economy in Germany ? the role of energy efficiency policies </w:t>
      </w:r>
      <w:r>
        <w:t xml:space="preserve">» Ringel, Schlomann, Krail, Rohde 2016 </w:t>
      </w:r>
    </w:p>
    <w:p/>
    <w:p>
      <w:r>
        <w:rPr>
          <w:b/>
        </w:rPr>
        <w:t>« Fostering the use of renewable energies in the European Union : the race between feed-in tariffs and green certificates </w:t>
      </w:r>
      <w:r>
        <w:t xml:space="preserve">» Ringel 2006 </w:t>
      </w:r>
    </w:p>
    <w:p/>
    <w:p>
      <w:r>
        <w:rPr>
          <w:b/>
        </w:rPr>
        <w:t>« taxonomy technical report </w:t>
      </w:r>
      <w:r>
        <w:t xml:space="preserve">» EU technical expert group on sustainable finance 2019 </w:t>
      </w:r>
    </w:p>
    <w:p/>
    <w:p>
      <w:r>
        <w:rPr>
          <w:b/>
        </w:rPr>
        <w:t>« feed in tariff policy : design, implementation, and RPS policy interaction </w:t>
      </w:r>
      <w:r>
        <w:t xml:space="preserve">» Cory, Couture, Kreycik 2009 </w:t>
      </w:r>
    </w:p>
    <w:p>
      <w:r>
        <w:t>« </w:t>
      </w:r>
      <w:r>
        <w:rPr>
          <w:b/>
        </w:rPr>
        <w:t>A policymakers’s Guide to feed in tariff policy design </w:t>
      </w:r>
      <w:r>
        <w:t xml:space="preserve">» Couture, Cory, Kreycik, Williams 2010 </w:t>
      </w:r>
    </w:p>
    <w:p/>
    <w:p/>
    <w:p/>
    <w:p/>
    <w:p/>
    <w:p/>
    <w:p>
      <w:r>
        <w:t xml:space="preserve">Slale 6 au panthéon. </w:t>
      </w:r>
    </w:p>
    <w:p>
      <w:r>
        <w:t xml:space="preserve">Rendu a nos ref. </w:t>
      </w:r>
    </w:p>
    <w:p>
      <w:r>
        <w:t xml:space="preserve">Le 25 mai </w:t>
      </w:r>
    </w:p>
    <w:p/>
    <w:p>
      <w:r>
        <w:t xml:space="preserve">Pdf et lui le circule a notre discutant. </w:t>
      </w:r>
    </w:p>
    <w:p/>
    <w:p>
      <w:r>
        <w:t xml:space="preserve">Indication des pages importante sur des articles qu’on cite plusieurs fois. </w:t>
      </w:r>
    </w:p>
    <w:sectPr>
      <w:footerReference r:id="rId3" w:type="default"/>
      <w:footerReference r:id="rId4" w:type="even"/>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ArialMT">
    <w:altName w:val="Times New Roman"/>
    <w:panose1 w:val="00000000000000000000"/>
    <w:charset w:val="00"/>
    <w:family w:val="auto"/>
    <w:pitch w:val="default"/>
    <w:sig w:usb0="00000000" w:usb1="00000000" w:usb2="00000009" w:usb3="00000000" w:csb0="000001FF" w:csb1="00000000"/>
  </w:font>
  <w:font w:name="êæUˇ">
    <w:altName w:val="Calibri"/>
    <w:panose1 w:val="00000000000000000000"/>
    <w:charset w:val="4D"/>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uto" w:vAnchor="text" w:hAnchor="margin" w:xAlign="right" w:y="1"/>
      <w:rPr>
        <w:rStyle w:val="4"/>
      </w:rPr>
    </w:pPr>
    <w:r>
      <w:rPr>
        <w:rStyle w:val="4"/>
      </w:rPr>
      <w:fldChar w:fldCharType="begin"/>
    </w:r>
    <w:r>
      <w:rPr>
        <w:rStyle w:val="4"/>
      </w:rPr>
      <w:instrText xml:space="preserve">PAGE  </w:instrText>
    </w:r>
    <w:r>
      <w:rPr>
        <w:rStyle w:val="4"/>
      </w:rPr>
      <w:fldChar w:fldCharType="separate"/>
    </w:r>
    <w:r>
      <w:rPr>
        <w:rStyle w:val="4"/>
      </w:rPr>
      <w:t>1</w:t>
    </w:r>
    <w:r>
      <w:rPr>
        <w:rStyle w:val="4"/>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uto" w:vAnchor="text" w:hAnchor="margin" w:xAlign="right" w:y="1"/>
      <w:rPr>
        <w:rStyle w:val="4"/>
      </w:rPr>
    </w:pPr>
    <w:r>
      <w:rPr>
        <w:rStyle w:val="4"/>
      </w:rPr>
      <w:fldChar w:fldCharType="begin"/>
    </w:r>
    <w:r>
      <w:rPr>
        <w:rStyle w:val="4"/>
      </w:rPr>
      <w:instrText xml:space="preserve">PAGE  </w:instrText>
    </w:r>
    <w:r>
      <w:rPr>
        <w:rStyle w:val="4"/>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215D2"/>
    <w:multiLevelType w:val="multilevel"/>
    <w:tmpl w:val="1E3215D2"/>
    <w:lvl w:ilvl="0" w:tentative="0">
      <w:start w:val="3"/>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8235439"/>
    <w:multiLevelType w:val="multilevel"/>
    <w:tmpl w:val="38235439"/>
    <w:lvl w:ilvl="0" w:tentative="0">
      <w:start w:val="3"/>
      <w:numFmt w:val="bullet"/>
      <w:lvlText w:val=""/>
      <w:lvlJc w:val="left"/>
      <w:pPr>
        <w:ind w:left="720" w:hanging="360"/>
      </w:pPr>
      <w:rPr>
        <w:rFonts w:hint="default" w:ascii="Wingdings" w:hAnsi="Wingdings" w:eastAsiaTheme="minorHAnsi" w:cstheme="minorBidi"/>
        <w:b/>
        <w:u w:val="singl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1A"/>
    <w:rsid w:val="00004755"/>
    <w:rsid w:val="000255D8"/>
    <w:rsid w:val="00045EDB"/>
    <w:rsid w:val="000527BC"/>
    <w:rsid w:val="00055344"/>
    <w:rsid w:val="0006462D"/>
    <w:rsid w:val="000734B8"/>
    <w:rsid w:val="00077038"/>
    <w:rsid w:val="000A5EBE"/>
    <w:rsid w:val="000A687E"/>
    <w:rsid w:val="000C69DD"/>
    <w:rsid w:val="000F040E"/>
    <w:rsid w:val="000F087C"/>
    <w:rsid w:val="0010710C"/>
    <w:rsid w:val="00110A27"/>
    <w:rsid w:val="00122418"/>
    <w:rsid w:val="001373CF"/>
    <w:rsid w:val="00143ACF"/>
    <w:rsid w:val="001513DF"/>
    <w:rsid w:val="00161D9E"/>
    <w:rsid w:val="0016234A"/>
    <w:rsid w:val="00167212"/>
    <w:rsid w:val="001A3278"/>
    <w:rsid w:val="001B22DC"/>
    <w:rsid w:val="001C3195"/>
    <w:rsid w:val="001D1920"/>
    <w:rsid w:val="001F328F"/>
    <w:rsid w:val="001F66A1"/>
    <w:rsid w:val="00204EAF"/>
    <w:rsid w:val="00206716"/>
    <w:rsid w:val="00212ECD"/>
    <w:rsid w:val="00215F14"/>
    <w:rsid w:val="002211CE"/>
    <w:rsid w:val="00237BF2"/>
    <w:rsid w:val="00245ADF"/>
    <w:rsid w:val="00246929"/>
    <w:rsid w:val="00255BD5"/>
    <w:rsid w:val="002566A4"/>
    <w:rsid w:val="00256CCB"/>
    <w:rsid w:val="00262467"/>
    <w:rsid w:val="00266571"/>
    <w:rsid w:val="0027311E"/>
    <w:rsid w:val="00280A8C"/>
    <w:rsid w:val="00291E49"/>
    <w:rsid w:val="00296AB2"/>
    <w:rsid w:val="002B46EF"/>
    <w:rsid w:val="002C61D2"/>
    <w:rsid w:val="002C7056"/>
    <w:rsid w:val="002D3241"/>
    <w:rsid w:val="002D44BB"/>
    <w:rsid w:val="002E2B3D"/>
    <w:rsid w:val="002E5213"/>
    <w:rsid w:val="002F02D3"/>
    <w:rsid w:val="00305667"/>
    <w:rsid w:val="00310740"/>
    <w:rsid w:val="00324113"/>
    <w:rsid w:val="003248B2"/>
    <w:rsid w:val="0033338A"/>
    <w:rsid w:val="00336770"/>
    <w:rsid w:val="003427EA"/>
    <w:rsid w:val="0034341E"/>
    <w:rsid w:val="0034505E"/>
    <w:rsid w:val="00371382"/>
    <w:rsid w:val="00371CB2"/>
    <w:rsid w:val="003A58E8"/>
    <w:rsid w:val="003A7DA4"/>
    <w:rsid w:val="003B078D"/>
    <w:rsid w:val="003B6738"/>
    <w:rsid w:val="003C0C5B"/>
    <w:rsid w:val="003D03C7"/>
    <w:rsid w:val="003D3A76"/>
    <w:rsid w:val="003D666F"/>
    <w:rsid w:val="003E7084"/>
    <w:rsid w:val="0040176E"/>
    <w:rsid w:val="004174EB"/>
    <w:rsid w:val="004177E5"/>
    <w:rsid w:val="004277EC"/>
    <w:rsid w:val="00430AF1"/>
    <w:rsid w:val="0044507C"/>
    <w:rsid w:val="00463375"/>
    <w:rsid w:val="00470D86"/>
    <w:rsid w:val="00494612"/>
    <w:rsid w:val="004A3D01"/>
    <w:rsid w:val="004A62F1"/>
    <w:rsid w:val="004B2371"/>
    <w:rsid w:val="004B31BD"/>
    <w:rsid w:val="004B635A"/>
    <w:rsid w:val="004F4D3F"/>
    <w:rsid w:val="004F771D"/>
    <w:rsid w:val="005022B4"/>
    <w:rsid w:val="00525B38"/>
    <w:rsid w:val="005427E5"/>
    <w:rsid w:val="00566BE6"/>
    <w:rsid w:val="005812FD"/>
    <w:rsid w:val="005842C6"/>
    <w:rsid w:val="00587108"/>
    <w:rsid w:val="005945C6"/>
    <w:rsid w:val="005A205E"/>
    <w:rsid w:val="005A21E3"/>
    <w:rsid w:val="005A619F"/>
    <w:rsid w:val="005B0711"/>
    <w:rsid w:val="005B79BB"/>
    <w:rsid w:val="005C6C41"/>
    <w:rsid w:val="005D1123"/>
    <w:rsid w:val="005F3E7B"/>
    <w:rsid w:val="006157F5"/>
    <w:rsid w:val="00616782"/>
    <w:rsid w:val="00616DAD"/>
    <w:rsid w:val="006250D1"/>
    <w:rsid w:val="006253BC"/>
    <w:rsid w:val="00634046"/>
    <w:rsid w:val="00636A86"/>
    <w:rsid w:val="006403F9"/>
    <w:rsid w:val="00650D2D"/>
    <w:rsid w:val="006643CC"/>
    <w:rsid w:val="006709F1"/>
    <w:rsid w:val="00674CDE"/>
    <w:rsid w:val="00690D94"/>
    <w:rsid w:val="006A7937"/>
    <w:rsid w:val="006C5C32"/>
    <w:rsid w:val="006D6EA2"/>
    <w:rsid w:val="006E3AF2"/>
    <w:rsid w:val="006E5F6C"/>
    <w:rsid w:val="007007B9"/>
    <w:rsid w:val="00702175"/>
    <w:rsid w:val="0070561E"/>
    <w:rsid w:val="00716F5E"/>
    <w:rsid w:val="007175F4"/>
    <w:rsid w:val="007669B8"/>
    <w:rsid w:val="00770AD6"/>
    <w:rsid w:val="00784CEE"/>
    <w:rsid w:val="00793A70"/>
    <w:rsid w:val="0079668F"/>
    <w:rsid w:val="007A26EE"/>
    <w:rsid w:val="007B234F"/>
    <w:rsid w:val="007B369D"/>
    <w:rsid w:val="007C062C"/>
    <w:rsid w:val="007C6BAA"/>
    <w:rsid w:val="007D7B68"/>
    <w:rsid w:val="007E0191"/>
    <w:rsid w:val="007E090A"/>
    <w:rsid w:val="007E09C6"/>
    <w:rsid w:val="007E600B"/>
    <w:rsid w:val="007E791C"/>
    <w:rsid w:val="007F334A"/>
    <w:rsid w:val="007F6AD1"/>
    <w:rsid w:val="00806F9A"/>
    <w:rsid w:val="00807797"/>
    <w:rsid w:val="00817C63"/>
    <w:rsid w:val="008210CA"/>
    <w:rsid w:val="00835850"/>
    <w:rsid w:val="00846D42"/>
    <w:rsid w:val="0085174A"/>
    <w:rsid w:val="00856C51"/>
    <w:rsid w:val="00860055"/>
    <w:rsid w:val="00872B1E"/>
    <w:rsid w:val="008904C4"/>
    <w:rsid w:val="00892C05"/>
    <w:rsid w:val="008935D8"/>
    <w:rsid w:val="008A2019"/>
    <w:rsid w:val="008B1A02"/>
    <w:rsid w:val="008E1EF8"/>
    <w:rsid w:val="008F50BA"/>
    <w:rsid w:val="008F75C8"/>
    <w:rsid w:val="00911C0F"/>
    <w:rsid w:val="0092121A"/>
    <w:rsid w:val="00923B9B"/>
    <w:rsid w:val="00932864"/>
    <w:rsid w:val="00932BB0"/>
    <w:rsid w:val="00944023"/>
    <w:rsid w:val="0094726D"/>
    <w:rsid w:val="00950057"/>
    <w:rsid w:val="00955D5F"/>
    <w:rsid w:val="00976039"/>
    <w:rsid w:val="00985C82"/>
    <w:rsid w:val="009972ED"/>
    <w:rsid w:val="009A6A4D"/>
    <w:rsid w:val="009C46A4"/>
    <w:rsid w:val="009C556C"/>
    <w:rsid w:val="009C740C"/>
    <w:rsid w:val="009D4B02"/>
    <w:rsid w:val="009F25B2"/>
    <w:rsid w:val="009F29D9"/>
    <w:rsid w:val="00A03B4E"/>
    <w:rsid w:val="00A0482E"/>
    <w:rsid w:val="00A06EED"/>
    <w:rsid w:val="00A16FAB"/>
    <w:rsid w:val="00A322B5"/>
    <w:rsid w:val="00A34956"/>
    <w:rsid w:val="00A42F12"/>
    <w:rsid w:val="00A45003"/>
    <w:rsid w:val="00A60F6E"/>
    <w:rsid w:val="00A62770"/>
    <w:rsid w:val="00A721FC"/>
    <w:rsid w:val="00A73C4E"/>
    <w:rsid w:val="00A77E89"/>
    <w:rsid w:val="00A812C4"/>
    <w:rsid w:val="00A87FFC"/>
    <w:rsid w:val="00AA1A1B"/>
    <w:rsid w:val="00AB1F38"/>
    <w:rsid w:val="00AC040E"/>
    <w:rsid w:val="00AC6DBD"/>
    <w:rsid w:val="00AD4728"/>
    <w:rsid w:val="00AD52BA"/>
    <w:rsid w:val="00AD6CBB"/>
    <w:rsid w:val="00B21030"/>
    <w:rsid w:val="00B2719B"/>
    <w:rsid w:val="00B30A0B"/>
    <w:rsid w:val="00B31068"/>
    <w:rsid w:val="00B362B5"/>
    <w:rsid w:val="00B546EA"/>
    <w:rsid w:val="00B70D1E"/>
    <w:rsid w:val="00B73B23"/>
    <w:rsid w:val="00B763A7"/>
    <w:rsid w:val="00B81067"/>
    <w:rsid w:val="00B91D88"/>
    <w:rsid w:val="00BA3C8E"/>
    <w:rsid w:val="00BA508F"/>
    <w:rsid w:val="00BB4661"/>
    <w:rsid w:val="00BB4C6E"/>
    <w:rsid w:val="00BD01F5"/>
    <w:rsid w:val="00BD066D"/>
    <w:rsid w:val="00BD0D9C"/>
    <w:rsid w:val="00BD65B4"/>
    <w:rsid w:val="00BE488C"/>
    <w:rsid w:val="00BF008B"/>
    <w:rsid w:val="00BF28EC"/>
    <w:rsid w:val="00C03F27"/>
    <w:rsid w:val="00C0553B"/>
    <w:rsid w:val="00C14F83"/>
    <w:rsid w:val="00C172DD"/>
    <w:rsid w:val="00C21800"/>
    <w:rsid w:val="00C23741"/>
    <w:rsid w:val="00C3079E"/>
    <w:rsid w:val="00C37D20"/>
    <w:rsid w:val="00C405D8"/>
    <w:rsid w:val="00C54DB0"/>
    <w:rsid w:val="00C73AD5"/>
    <w:rsid w:val="00C76CD2"/>
    <w:rsid w:val="00C82F65"/>
    <w:rsid w:val="00C84424"/>
    <w:rsid w:val="00C8625F"/>
    <w:rsid w:val="00C93417"/>
    <w:rsid w:val="00CB24D7"/>
    <w:rsid w:val="00CB385A"/>
    <w:rsid w:val="00CD1942"/>
    <w:rsid w:val="00CD60D0"/>
    <w:rsid w:val="00CE4AE8"/>
    <w:rsid w:val="00CE65E3"/>
    <w:rsid w:val="00CF5FB3"/>
    <w:rsid w:val="00D0235B"/>
    <w:rsid w:val="00D0280D"/>
    <w:rsid w:val="00D0483D"/>
    <w:rsid w:val="00D10E9E"/>
    <w:rsid w:val="00D11BE6"/>
    <w:rsid w:val="00D21726"/>
    <w:rsid w:val="00D247EE"/>
    <w:rsid w:val="00D25BAF"/>
    <w:rsid w:val="00D37535"/>
    <w:rsid w:val="00D40F80"/>
    <w:rsid w:val="00D43748"/>
    <w:rsid w:val="00D66DF4"/>
    <w:rsid w:val="00D91136"/>
    <w:rsid w:val="00D91A9B"/>
    <w:rsid w:val="00D93A5D"/>
    <w:rsid w:val="00DA37BE"/>
    <w:rsid w:val="00DA689F"/>
    <w:rsid w:val="00DB1198"/>
    <w:rsid w:val="00DB5A91"/>
    <w:rsid w:val="00DB7127"/>
    <w:rsid w:val="00DC0DDE"/>
    <w:rsid w:val="00DD0B0C"/>
    <w:rsid w:val="00DD15AE"/>
    <w:rsid w:val="00DD1EF9"/>
    <w:rsid w:val="00DD4F40"/>
    <w:rsid w:val="00DD7837"/>
    <w:rsid w:val="00DE20C6"/>
    <w:rsid w:val="00DF4F46"/>
    <w:rsid w:val="00E0125C"/>
    <w:rsid w:val="00E1289E"/>
    <w:rsid w:val="00E14700"/>
    <w:rsid w:val="00E16BF9"/>
    <w:rsid w:val="00E17EF6"/>
    <w:rsid w:val="00E22686"/>
    <w:rsid w:val="00E2418D"/>
    <w:rsid w:val="00E25156"/>
    <w:rsid w:val="00E5595F"/>
    <w:rsid w:val="00E745E0"/>
    <w:rsid w:val="00E940BD"/>
    <w:rsid w:val="00ED2551"/>
    <w:rsid w:val="00ED7421"/>
    <w:rsid w:val="00EF0624"/>
    <w:rsid w:val="00EF2620"/>
    <w:rsid w:val="00EF7EE9"/>
    <w:rsid w:val="00F11CC6"/>
    <w:rsid w:val="00F16593"/>
    <w:rsid w:val="00F41426"/>
    <w:rsid w:val="00F42A93"/>
    <w:rsid w:val="00F43434"/>
    <w:rsid w:val="00F45CFA"/>
    <w:rsid w:val="00F503E0"/>
    <w:rsid w:val="00F61020"/>
    <w:rsid w:val="00F75259"/>
    <w:rsid w:val="00F753C3"/>
    <w:rsid w:val="00FB0ECC"/>
    <w:rsid w:val="00FB58EA"/>
    <w:rsid w:val="00FC7677"/>
    <w:rsid w:val="00FE381E"/>
    <w:rsid w:val="00FF6F06"/>
    <w:rsid w:val="0B5F0C1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39" w:semiHidden="0" w:name="Table Grid"/>
    <w:lsdException w:qFormat="1" w:unhideWhenUsed="0" w:uiPriority="34" w:semiHidden="0" w:name="List Paragraph"/>
  </w:latentStyles>
  <w:style w:type="paragraph" w:default="1" w:styleId="1">
    <w:name w:val="Normal"/>
    <w:qFormat/>
    <w:uiPriority w:val="0"/>
    <w:rPr>
      <w:rFonts w:asciiTheme="minorHAnsi" w:hAnsiTheme="minorHAnsi" w:eastAsiaTheme="minorHAnsi" w:cstheme="minorBidi"/>
      <w:sz w:val="24"/>
      <w:szCs w:val="24"/>
      <w:lang w:val="fr-FR" w:eastAsia="en-US" w:bidi="ar-SA"/>
    </w:rPr>
  </w:style>
  <w:style w:type="character" w:default="1" w:styleId="2">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character" w:styleId="4">
    <w:name w:val="page number"/>
    <w:basedOn w:val="2"/>
    <w:semiHidden/>
    <w:unhideWhenUsed/>
    <w:uiPriority w:val="99"/>
  </w:style>
  <w:style w:type="character" w:styleId="5">
    <w:name w:val="FollowedHyperlink"/>
    <w:basedOn w:val="2"/>
    <w:semiHidden/>
    <w:unhideWhenUsed/>
    <w:uiPriority w:val="99"/>
    <w:rPr>
      <w:color w:val="954F72" w:themeColor="followedHyperlink"/>
      <w:u w:val="single"/>
      <w14:textFill>
        <w14:solidFill>
          <w14:schemeClr w14:val="folHlink"/>
        </w14:solidFill>
      </w14:textFill>
    </w:rPr>
  </w:style>
  <w:style w:type="paragraph" w:styleId="6">
    <w:name w:val="Normal (Web)"/>
    <w:basedOn w:val="1"/>
    <w:unhideWhenUsed/>
    <w:uiPriority w:val="99"/>
    <w:pPr>
      <w:spacing w:before="100" w:beforeAutospacing="1" w:after="100" w:afterAutospacing="1"/>
    </w:pPr>
    <w:rPr>
      <w:rFonts w:ascii="Times New Roman" w:hAnsi="Times New Roman" w:cs="Times New Roman"/>
      <w:lang w:eastAsia="fr-FR"/>
    </w:rPr>
  </w:style>
  <w:style w:type="paragraph" w:styleId="7">
    <w:name w:val="footer"/>
    <w:basedOn w:val="1"/>
    <w:link w:val="11"/>
    <w:unhideWhenUsed/>
    <w:uiPriority w:val="99"/>
    <w:pPr>
      <w:tabs>
        <w:tab w:val="center" w:pos="4536"/>
        <w:tab w:val="right" w:pos="9072"/>
      </w:tabs>
    </w:pPr>
  </w:style>
  <w:style w:type="paragraph" w:styleId="9">
    <w:name w:val="List Paragraph"/>
    <w:basedOn w:val="1"/>
    <w:qFormat/>
    <w:uiPriority w:val="34"/>
    <w:pPr>
      <w:ind w:left="720"/>
      <w:contextualSpacing/>
    </w:pPr>
  </w:style>
  <w:style w:type="table" w:styleId="10">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Pied de page Car"/>
    <w:basedOn w:val="2"/>
    <w:link w:val="7"/>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1246</Words>
  <Characters>6858</Characters>
  <Lines>57</Lines>
  <Paragraphs>16</Paragraphs>
  <TotalTime>18</TotalTime>
  <ScaleCrop>false</ScaleCrop>
  <LinksUpToDate>false</LinksUpToDate>
  <CharactersWithSpaces>8088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2021-04-12T12:42:00Z</dcterms:created>
  <dc:creator>Solenn HERVE</dc:creator>
  <cp:lastModifiedBy>Ahmed Bachir Diedhiou</cp:lastModifiedBy>
  <dcterms:modified xsi:type="dcterms:W3CDTF">2022-05-03T13:30:02Z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1036-11.2.0.11074</vt:lpwstr>
  </property>
  <property fmtid="{D5CDD505-2E9C-101B-9397-08002B2CF9AE}" pid="3" name="ICV">
    <vt:lpwstr>B60105F562E1400FB27A0F5BA02A3371</vt:lpwstr>
  </property>
</Properties>
</file>