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02BFF"/>
          <w:sz w:val="24"/>
        </w:rPr>
        <w:t>CORTEX AI</w:t>
      </w:r>
    </w:p>
    <w:p>
      <w:pPr>
        <w:pStyle w:val="Title"/>
        <w:jc w:val="center"/>
      </w:pPr>
      <w:r>
        <w:t>Politique interne de formation et de certification numérique</w:t>
      </w:r>
    </w:p>
    <w:p>
      <w:pPr>
        <w:jc w:val="center"/>
      </w:pPr>
      <w:r>
        <w:rPr>
          <w:i/>
          <w:color w:val="5A6478"/>
          <w:sz w:val="20"/>
        </w:rPr>
        <w:t>Version de démonstration — Référence : DEMO-RH-FORM-2026-01</w:t>
      </w:r>
    </w:p>
    <w:tbl>
      <w:tblPr>
        <w:tblW w:type="auto" w:w="0"/>
        <w:jc w:val="center"/>
        <w:tblLayout w:type="fixed"/>
        <w:tblLook w:firstColumn="1" w:firstRow="1" w:lastColumn="0" w:lastRow="0" w:noHBand="0" w:noVBand="1" w:val="04A0"/>
      </w:tblPr>
      <w:tblGrid>
        <w:gridCol w:w="10080"/>
      </w:tblGrid>
      <w:tr>
        <w:tc>
          <w:tcPr>
            <w:tcW w:type="dxa" w:w="9648"/>
            <w:shd w:fill="F4F0FF"/>
            <w:vAlign w:val="center"/>
          </w:tcPr>
          <w:p>
            <w:pPr>
              <w:jc w:val="center"/>
            </w:pPr>
            <w:r>
              <w:rPr>
                <w:b/>
                <w:color w:val="702BFF"/>
              </w:rPr>
              <w:t>NOTE DE DÉMONSTRATION</w:t>
            </w:r>
            <w:r>
              <w:br/>
              <w:t>Ce document est fictif et sert uniquement aux tests du système RAG Cortex AI. Il ne constitue pas une procédure officielle du Ministère.</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F8FAFC"/>
          </w:tcPr>
          <w:p>
            <w:r>
              <w:rPr>
                <w:b/>
              </w:rPr>
              <w:t>Propriétaire fonctionnel</w:t>
            </w:r>
          </w:p>
        </w:tc>
        <w:tc>
          <w:tcPr>
            <w:tcW w:type="dxa" w:w="5040"/>
          </w:tcPr>
          <w:p>
            <w:r>
              <w:t>Direction des Ressources Humaines — Démonstration</w:t>
            </w:r>
          </w:p>
        </w:tc>
      </w:tr>
      <w:tr>
        <w:tc>
          <w:tcPr>
            <w:tcW w:type="dxa" w:w="5040"/>
            <w:shd w:fill="F8FAFC"/>
          </w:tcPr>
          <w:p>
            <w:r>
              <w:rPr>
                <w:b/>
              </w:rPr>
              <w:t>Périmètre</w:t>
            </w:r>
          </w:p>
        </w:tc>
        <w:tc>
          <w:tcPr>
            <w:tcW w:type="dxa" w:w="5040"/>
          </w:tcPr>
          <w:p>
            <w:r>
              <w:t>Employés, managers et administrateurs du périmètre pilote Cortex AI</w:t>
            </w:r>
          </w:p>
        </w:tc>
      </w:tr>
      <w:tr>
        <w:tc>
          <w:tcPr>
            <w:tcW w:type="dxa" w:w="5040"/>
            <w:shd w:fill="F8FAFC"/>
          </w:tcPr>
          <w:p>
            <w:r>
              <w:rPr>
                <w:b/>
              </w:rPr>
              <w:t>Date d’effet fictive</w:t>
            </w:r>
          </w:p>
        </w:tc>
        <w:tc>
          <w:tcPr>
            <w:tcW w:type="dxa" w:w="5040"/>
          </w:tcPr>
          <w:p>
            <w:r>
              <w:t>1er septembre 2026</w:t>
            </w:r>
          </w:p>
        </w:tc>
      </w:tr>
      <w:tr>
        <w:tc>
          <w:tcPr>
            <w:tcW w:type="dxa" w:w="5040"/>
            <w:shd w:fill="F8FAFC"/>
          </w:tcPr>
          <w:p>
            <w:r>
              <w:rPr>
                <w:b/>
              </w:rPr>
              <w:t>Révision prévue</w:t>
            </w:r>
          </w:p>
        </w:tc>
        <w:tc>
          <w:tcPr>
            <w:tcW w:type="dxa" w:w="5040"/>
          </w:tcPr>
          <w:p>
            <w:r>
              <w:t>1er mars 2027</w:t>
            </w:r>
          </w:p>
        </w:tc>
      </w:tr>
    </w:tbl>
    <w:p>
      <w:pPr>
        <w:pStyle w:val="Heading1"/>
      </w:pPr>
      <w:r>
        <w:t>1. Objet</w:t>
      </w:r>
    </w:p>
    <w:p>
      <w:r>
        <w:t>La présente politique de démonstration définit les règles internes relatives à l’accès aux formations numériques, aux parcours de certification et à la prise en charge de certains frais de certification dans le cadre du pilote Cortex AI.</w:t>
      </w:r>
    </w:p>
    <w:p>
      <w:pPr>
        <w:pStyle w:val="Heading1"/>
      </w:pPr>
      <w:r>
        <w:t>2. Principes généraux</w:t>
      </w:r>
    </w:p>
    <w:p>
      <w:pPr>
        <w:pStyle w:val="ListBullet"/>
        <w:spacing w:after="40"/>
      </w:pPr>
      <w:r>
        <w:t>Chaque collaborateur dispose d’un crédit indicatif de 4 jours de formation par année civile.</w:t>
      </w:r>
    </w:p>
    <w:p>
      <w:pPr>
        <w:pStyle w:val="ListBullet"/>
        <w:spacing w:after="40"/>
      </w:pPr>
      <w:r>
        <w:t>Les formations doivent être liées aux missions, au développement de compétences utiles au poste ou aux priorités de transformation numérique.</w:t>
      </w:r>
    </w:p>
    <w:p>
      <w:pPr>
        <w:pStyle w:val="ListBullet"/>
        <w:spacing w:after="40"/>
      </w:pPr>
      <w:r>
        <w:t>La participation à une formation ne vaut pas autorisation automatique d’absence : l’accord du manager reste requis avant inscription définitive.</w:t>
      </w:r>
    </w:p>
    <w:p>
      <w:pPr>
        <w:pStyle w:val="ListBullet"/>
        <w:spacing w:after="40"/>
      </w:pPr>
      <w:r>
        <w:t>Les formations obligatoires de cybersécurité sont prioritaires sur les formations facultatives en cas de conflit de calendrier.</w:t>
      </w:r>
    </w:p>
    <w:p>
      <w:pPr>
        <w:pStyle w:val="Heading1"/>
      </w:pPr>
      <w:r>
        <w:t>3. Éligibilité</w:t>
      </w:r>
    </w:p>
    <w:p>
      <w:r>
        <w:t>Sont éligibles au dispositif de démonstration :</w:t>
      </w:r>
    </w:p>
    <w:p>
      <w:pPr>
        <w:pStyle w:val="ListBullet"/>
        <w:spacing w:after="40"/>
      </w:pPr>
      <w:r>
        <w:t>les employés ayant au moins 3 mois d’ancienneté ;</w:t>
      </w:r>
    </w:p>
    <w:p>
      <w:pPr>
        <w:pStyle w:val="ListBullet"/>
        <w:spacing w:after="40"/>
      </w:pPr>
      <w:r>
        <w:t>les managers ;</w:t>
      </w:r>
    </w:p>
    <w:p>
      <w:pPr>
        <w:pStyle w:val="ListBullet"/>
        <w:spacing w:after="40"/>
      </w:pPr>
      <w:r>
        <w:t>les administrateurs techniques pour les formations liées à la sécurité, l’infrastructure, les données ou l’IA.</w:t>
      </w:r>
    </w:p>
    <w:p>
      <w:r>
        <w:t>Les stagiaires peuvent participer à une session interne gratuite, sous réserve de l’accord de leur encadrant, mais ne bénéficient pas du remboursement des certifications externes.</w:t>
      </w:r>
    </w:p>
    <w:p>
      <w:pPr>
        <w:pStyle w:val="Heading1"/>
      </w:pPr>
      <w:r>
        <w:t>4. Processus de demande de formation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9FE"/>
          </w:tcPr>
          <w:p>
            <w:r>
              <w:rPr>
                <w:b/>
              </w:rPr>
              <w:t>Étape</w:t>
            </w:r>
          </w:p>
        </w:tc>
        <w:tc>
          <w:tcPr>
            <w:tcW w:type="dxa" w:w="2520"/>
            <w:shd w:fill="EDE9FE"/>
          </w:tcPr>
          <w:p>
            <w:r>
              <w:rPr>
                <w:b/>
              </w:rPr>
              <w:t>Responsable</w:t>
            </w:r>
          </w:p>
        </w:tc>
        <w:tc>
          <w:tcPr>
            <w:tcW w:type="dxa" w:w="2520"/>
            <w:shd w:fill="EDE9FE"/>
          </w:tcPr>
          <w:p>
            <w:r>
              <w:rPr>
                <w:b/>
              </w:rPr>
              <w:t>Délai cible</w:t>
            </w:r>
          </w:p>
        </w:tc>
        <w:tc>
          <w:tcPr>
            <w:tcW w:type="dxa" w:w="2520"/>
            <w:shd w:fill="EDE9FE"/>
          </w:tcPr>
          <w:p>
            <w:r>
              <w:rPr>
                <w:b/>
              </w:rPr>
              <w:t>Action</w:t>
            </w:r>
          </w:p>
        </w:tc>
      </w:tr>
      <w:tr>
        <w:tc>
          <w:tcPr>
            <w:tcW w:type="dxa" w:w="2520"/>
          </w:tcPr>
          <w:p>
            <w:r>
              <w:t>1</w:t>
            </w:r>
          </w:p>
        </w:tc>
        <w:tc>
          <w:tcPr>
            <w:tcW w:type="dxa" w:w="2520"/>
          </w:tcPr>
          <w:p>
            <w:r>
              <w:t>Employé</w:t>
            </w:r>
          </w:p>
        </w:tc>
        <w:tc>
          <w:tcPr>
            <w:tcW w:type="dxa" w:w="2520"/>
          </w:tcPr>
          <w:p>
            <w:r>
              <w:t>Au moins 10 jours ouvrés avant la session</w:t>
            </w:r>
          </w:p>
        </w:tc>
        <w:tc>
          <w:tcPr>
            <w:tcW w:type="dxa" w:w="2520"/>
          </w:tcPr>
          <w:p>
            <w:r>
              <w:t>Soumettre une demande avec intitulé, organisme, dates, coût estimé et objectif professionnel.</w:t>
            </w:r>
          </w:p>
        </w:tc>
      </w:tr>
      <w:tr>
        <w:tc>
          <w:tcPr>
            <w:tcW w:type="dxa" w:w="2520"/>
          </w:tcPr>
          <w:p>
            <w:r>
              <w:t>2</w:t>
            </w:r>
          </w:p>
        </w:tc>
        <w:tc>
          <w:tcPr>
            <w:tcW w:type="dxa" w:w="2520"/>
          </w:tcPr>
          <w:p>
            <w:r>
              <w:t>Manager</w:t>
            </w:r>
          </w:p>
        </w:tc>
        <w:tc>
          <w:tcPr>
            <w:tcW w:type="dxa" w:w="2520"/>
          </w:tcPr>
          <w:p>
            <w:r>
              <w:t>Sous 3 jours ouvrés</w:t>
            </w:r>
          </w:p>
        </w:tc>
        <w:tc>
          <w:tcPr>
            <w:tcW w:type="dxa" w:w="2520"/>
          </w:tcPr>
          <w:p>
            <w:r>
              <w:t>Valider ou refuser selon la charge de travail, la pertinence et le budget disponible.</w:t>
            </w:r>
          </w:p>
        </w:tc>
      </w:tr>
      <w:tr>
        <w:tc>
          <w:tcPr>
            <w:tcW w:type="dxa" w:w="2520"/>
          </w:tcPr>
          <w:p>
            <w:r>
              <w:t>3</w:t>
            </w:r>
          </w:p>
        </w:tc>
        <w:tc>
          <w:tcPr>
            <w:tcW w:type="dxa" w:w="2520"/>
          </w:tcPr>
          <w:p>
            <w:r>
              <w:t>RH / Administration</w:t>
            </w:r>
          </w:p>
        </w:tc>
        <w:tc>
          <w:tcPr>
            <w:tcW w:type="dxa" w:w="2520"/>
          </w:tcPr>
          <w:p>
            <w:r>
              <w:t>Sous 5 jours ouvrés après validation manager</w:t>
            </w:r>
          </w:p>
        </w:tc>
        <w:tc>
          <w:tcPr>
            <w:tcW w:type="dxa" w:w="2520"/>
          </w:tcPr>
          <w:p>
            <w:r>
              <w:t>Vérifier l’éligibilité, le budget et confirmer l’inscription.</w:t>
            </w:r>
          </w:p>
        </w:tc>
      </w:tr>
      <w:tr>
        <w:tc>
          <w:tcPr>
            <w:tcW w:type="dxa" w:w="2520"/>
          </w:tcPr>
          <w:p>
            <w:r>
              <w:t>4</w:t>
            </w:r>
          </w:p>
        </w:tc>
        <w:tc>
          <w:tcPr>
            <w:tcW w:type="dxa" w:w="2520"/>
          </w:tcPr>
          <w:p>
            <w:r>
              <w:t>Employé</w:t>
            </w:r>
          </w:p>
        </w:tc>
        <w:tc>
          <w:tcPr>
            <w:tcW w:type="dxa" w:w="2520"/>
          </w:tcPr>
          <w:p>
            <w:r>
              <w:t>Dans les 5 jours ouvrés après la formation</w:t>
            </w:r>
          </w:p>
        </w:tc>
        <w:tc>
          <w:tcPr>
            <w:tcW w:type="dxa" w:w="2520"/>
          </w:tcPr>
          <w:p>
            <w:r>
              <w:t>Transmettre l’attestation de présence ou le justificatif de passage de certification.</w:t>
            </w:r>
          </w:p>
        </w:tc>
      </w:tr>
    </w:tbl>
    <w:p>
      <w:pPr>
        <w:pStyle w:val="Heading1"/>
      </w:pPr>
      <w:r>
        <w:t>5. Formation obligatoire de cybersécurité</w:t>
      </w:r>
    </w:p>
    <w:p>
      <w:r>
        <w:t>Dans ce scénario de démonstration, une session interne de sensibilisation à la cybersécurité est organisée chaque mercredi à 10 h 00. La durée standard est de 90 minutes. Les nouveaux arrivants doivent suivre cette session dans les 30 jours suivant leur prise de fonction.</w:t>
      </w:r>
    </w:p>
    <w:p>
      <w:r>
        <w:t>En cas d’indisponibilité justifiée, l’employé doit demander son report au plus tard la veille de la session à 16 h 00.</w:t>
      </w:r>
    </w:p>
    <w:p>
      <w:pPr>
        <w:pStyle w:val="Heading1"/>
      </w:pPr>
      <w:r>
        <w:t>6. Certifications externes</w:t>
      </w:r>
    </w:p>
    <w:p>
      <w:r>
        <w:t>Les certifications externes peuvent faire l’objet d’une prise en charge partielle lorsqu’elles sont préalablement approuvées.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BEAFE"/>
          </w:tcPr>
          <w:p>
            <w:r>
              <w:rPr>
                <w:b/>
              </w:rPr>
              <w:t>Élément</w:t>
            </w:r>
          </w:p>
        </w:tc>
        <w:tc>
          <w:tcPr>
            <w:tcW w:type="dxa" w:w="3360"/>
            <w:shd w:fill="DBEAFE"/>
          </w:tcPr>
          <w:p>
            <w:r>
              <w:rPr>
                <w:b/>
              </w:rPr>
              <w:t>Règle de démonstration</w:t>
            </w:r>
          </w:p>
        </w:tc>
        <w:tc>
          <w:tcPr>
            <w:tcW w:type="dxa" w:w="3360"/>
            <w:shd w:fill="DBEAFE"/>
          </w:tcPr>
          <w:p>
            <w:r>
              <w:rPr>
                <w:b/>
              </w:rPr>
              <w:t>Limite</w:t>
            </w:r>
          </w:p>
        </w:tc>
      </w:tr>
      <w:tr>
        <w:tc>
          <w:tcPr>
            <w:tcW w:type="dxa" w:w="3360"/>
          </w:tcPr>
          <w:p>
            <w:r>
              <w:t>Frais d’examen</w:t>
            </w:r>
          </w:p>
        </w:tc>
        <w:tc>
          <w:tcPr>
            <w:tcW w:type="dxa" w:w="3360"/>
          </w:tcPr>
          <w:p>
            <w:r>
              <w:t>Remboursement à hauteur de 80 % après réussite</w:t>
            </w:r>
          </w:p>
        </w:tc>
        <w:tc>
          <w:tcPr>
            <w:tcW w:type="dxa" w:w="3360"/>
          </w:tcPr>
          <w:p>
            <w:r>
              <w:t>2 500 MAD par certification</w:t>
            </w:r>
          </w:p>
        </w:tc>
      </w:tr>
      <w:tr>
        <w:tc>
          <w:tcPr>
            <w:tcW w:type="dxa" w:w="3360"/>
          </w:tcPr>
          <w:p>
            <w:r>
              <w:t>Nombre de certifications</w:t>
            </w:r>
          </w:p>
        </w:tc>
        <w:tc>
          <w:tcPr>
            <w:tcW w:type="dxa" w:w="3360"/>
          </w:tcPr>
          <w:p>
            <w:r>
              <w:t>Maximum remboursable par année civile</w:t>
            </w:r>
          </w:p>
        </w:tc>
        <w:tc>
          <w:tcPr>
            <w:tcW w:type="dxa" w:w="3360"/>
          </w:tcPr>
          <w:p>
            <w:r>
              <w:t>2 certifications par employé</w:t>
            </w:r>
          </w:p>
        </w:tc>
      </w:tr>
      <w:tr>
        <w:tc>
          <w:tcPr>
            <w:tcW w:type="dxa" w:w="3360"/>
          </w:tcPr>
          <w:p>
            <w:r>
              <w:t>Nouvelle tentative après échec</w:t>
            </w:r>
          </w:p>
        </w:tc>
        <w:tc>
          <w:tcPr>
            <w:tcW w:type="dxa" w:w="3360"/>
          </w:tcPr>
          <w:p>
            <w:r>
              <w:t>Non remboursée automatiquement</w:t>
            </w:r>
          </w:p>
        </w:tc>
        <w:tc>
          <w:tcPr>
            <w:tcW w:type="dxa" w:w="3360"/>
          </w:tcPr>
          <w:p>
            <w:r>
              <w:t>Validation exceptionnelle requise</w:t>
            </w:r>
          </w:p>
        </w:tc>
      </w:tr>
    </w:tbl>
    <w:p>
      <w:r>
        <w:t>Le remboursement est traité après réception de la facture, de la preuve de paiement et du justificatif de réussite. La demande de remboursement doit être déposée dans un délai de 30 jours calendaires après la date de réussite.</w:t>
      </w:r>
    </w:p>
    <w:p>
      <w:pPr>
        <w:pStyle w:val="Heading1"/>
      </w:pPr>
      <w:r>
        <w:t>7. Priorités de formation</w:t>
      </w:r>
    </w:p>
    <w:p>
      <w:r>
        <w:t>En cas de budget limité, l’ordre de priorité de démonstration est le suivant :</w:t>
      </w:r>
    </w:p>
    <w:p>
      <w:pPr>
        <w:pStyle w:val="ListBullet"/>
        <w:spacing w:after="40"/>
      </w:pPr>
      <w:r>
        <w:t>1. Formations obligatoires liées à la sécurité et à la conformité ;</w:t>
      </w:r>
    </w:p>
    <w:p>
      <w:pPr>
        <w:pStyle w:val="ListBullet"/>
        <w:spacing w:after="40"/>
      </w:pPr>
      <w:r>
        <w:t>2. Formations nécessaires à une mission ou à un projet en cours ;</w:t>
      </w:r>
    </w:p>
    <w:p>
      <w:pPr>
        <w:pStyle w:val="ListBullet"/>
        <w:spacing w:after="40"/>
      </w:pPr>
      <w:r>
        <w:t>3. Certifications techniques directement liées au poste ;</w:t>
      </w:r>
    </w:p>
    <w:p>
      <w:pPr>
        <w:pStyle w:val="ListBullet"/>
        <w:spacing w:after="40"/>
      </w:pPr>
      <w:r>
        <w:t>4. Développement professionnel général.</w:t>
      </w:r>
    </w:p>
    <w:p>
      <w:pPr>
        <w:pStyle w:val="Heading1"/>
      </w:pPr>
      <w:r>
        <w:t>8. Annulation et absence</w:t>
      </w:r>
    </w:p>
    <w:p>
      <w:pPr>
        <w:pStyle w:val="ListBullet"/>
        <w:spacing w:after="40"/>
      </w:pPr>
      <w:r>
        <w:t>Toute annulation doit être signalée dès que possible au manager et à l’administration de la formation.</w:t>
      </w:r>
    </w:p>
    <w:p>
      <w:pPr>
        <w:pStyle w:val="ListBullet"/>
        <w:spacing w:after="40"/>
      </w:pPr>
      <w:r>
        <w:t>Une annulation moins de 2 jours ouvrés avant une formation externe payante peut entraîner le refus de prise en charge de frais non récupérables, sauf motif justifié.</w:t>
      </w:r>
    </w:p>
    <w:p>
      <w:pPr>
        <w:pStyle w:val="ListBullet"/>
        <w:spacing w:after="40"/>
      </w:pPr>
      <w:r>
        <w:t>Deux absences non justifiées à des sessions validées sur une période de 6 mois peuvent conduire à une suspension temporaire de l’accès aux formations facultatives pendant 3 mois.</w:t>
      </w:r>
    </w:p>
    <w:p>
      <w:pPr>
        <w:pStyle w:val="Heading1"/>
      </w:pPr>
      <w:r>
        <w:t>9. Données et confidentialité</w:t>
      </w:r>
    </w:p>
    <w:p>
      <w:r>
        <w:t>Les demandes de formation doivent contenir uniquement les informations nécessaires au traitement administratif. Les mots de passe, jetons d’authentification, données médicales ou autres informations sensibles non nécessaires ne doivent jamais être joints à une demande.</w:t>
      </w:r>
    </w:p>
    <w:p>
      <w:pPr>
        <w:pStyle w:val="Heading1"/>
      </w:pPr>
      <w:r>
        <w:t>10. Exemples de situations</w:t>
      </w:r>
    </w:p>
    <w:tbl>
      <w:tblPr>
        <w:tblStyle w:val="TableGrid"/>
        <w:tblW w:type="auto" w:w="0"/>
        <w:jc w:val="center"/>
        <w:tblLook w:firstColumn="1" w:firstRow="1" w:lastColumn="0" w:lastRow="0" w:noHBand="0" w:noVBand="1" w:val="04A0"/>
      </w:tblPr>
      <w:tblGrid>
        <w:gridCol w:w="5040"/>
        <w:gridCol w:w="5040"/>
      </w:tblGrid>
      <w:tr>
        <w:tc>
          <w:tcPr>
            <w:tcW w:type="dxa" w:w="5040"/>
            <w:shd w:fill="ECFDF5"/>
          </w:tcPr>
          <w:p>
            <w:r>
              <w:rPr>
                <w:b/>
              </w:rPr>
              <w:t>Situation</w:t>
            </w:r>
          </w:p>
        </w:tc>
        <w:tc>
          <w:tcPr>
            <w:tcW w:type="dxa" w:w="5040"/>
            <w:shd w:fill="ECFDF5"/>
          </w:tcPr>
          <w:p>
            <w:r>
              <w:rPr>
                <w:b/>
              </w:rPr>
              <w:t>Décision selon cette politique de démonstration</w:t>
            </w:r>
          </w:p>
        </w:tc>
      </w:tr>
      <w:tr>
        <w:tc>
          <w:tcPr>
            <w:tcW w:type="dxa" w:w="5040"/>
          </w:tcPr>
          <w:p>
            <w:r>
              <w:t>Employé avec 5 mois d’ancienneté demandant une certification cloud liée à son poste</w:t>
            </w:r>
          </w:p>
        </w:tc>
        <w:tc>
          <w:tcPr>
            <w:tcW w:type="dxa" w:w="5040"/>
          </w:tcPr>
          <w:p>
            <w:r>
              <w:t>Éligible, sous réserve de validation manager et budget.</w:t>
            </w:r>
          </w:p>
        </w:tc>
      </w:tr>
      <w:tr>
        <w:tc>
          <w:tcPr>
            <w:tcW w:type="dxa" w:w="5040"/>
          </w:tcPr>
          <w:p>
            <w:r>
              <w:t>Stagiaire demandant le remboursement d’un examen externe</w:t>
            </w:r>
          </w:p>
        </w:tc>
        <w:tc>
          <w:tcPr>
            <w:tcW w:type="dxa" w:w="5040"/>
          </w:tcPr>
          <w:p>
            <w:r>
              <w:t>Non éligible au remboursement, mais une formation interne gratuite peut être autorisée.</w:t>
            </w:r>
          </w:p>
        </w:tc>
      </w:tr>
      <w:tr>
        <w:tc>
          <w:tcPr>
            <w:tcW w:type="dxa" w:w="5040"/>
          </w:tcPr>
          <w:p>
            <w:r>
              <w:t>Employé ayant réussi une certification de 3 000 MAD</w:t>
            </w:r>
          </w:p>
        </w:tc>
        <w:tc>
          <w:tcPr>
            <w:tcW w:type="dxa" w:w="5040"/>
          </w:tcPr>
          <w:p>
            <w:r>
              <w:t>Remboursement maximal : 2 400 MAD (80 %), sous le plafond de 2 500 MAD.</w:t>
            </w:r>
          </w:p>
        </w:tc>
      </w:tr>
      <w:tr>
        <w:tc>
          <w:tcPr>
            <w:tcW w:type="dxa" w:w="5040"/>
          </w:tcPr>
          <w:p>
            <w:r>
              <w:t>Employé déposant son remboursement 45 jours après réussite</w:t>
            </w:r>
          </w:p>
        </w:tc>
        <w:tc>
          <w:tcPr>
            <w:tcW w:type="dxa" w:w="5040"/>
          </w:tcPr>
          <w:p>
            <w:r>
              <w:t>Délai de 30 jours dépassé ; la politique ne prévoit pas de remboursement automatique.</w:t>
            </w:r>
          </w:p>
        </w:tc>
      </w:tr>
    </w:tbl>
    <w:p>
      <w:pPr>
        <w:spacing w:before="200"/>
      </w:pPr>
      <w:r>
        <w:rPr>
          <w:b/>
          <w:color w:val="702BFF"/>
        </w:rPr>
        <w:t xml:space="preserve">Rappel : </w:t>
      </w:r>
      <w:r>
        <w:t>Ce document est utilisé uniquement à des fins de démonstration et de test du système RAG Cortex AI. Il ne constitue pas une procédure officielle du Ministère.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6"/>
        <w:sz w:val="16"/>
      </w:rPr>
      <w:t>Cortex AI — Démonstration RAG | DEMO-RH-FORM-2026-01</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5ACD"/>
        <w:sz w:val="16"/>
      </w:rPr>
      <w:t>CORTEX AI — DOCUMENT INTERNE DE DÉMONSTRATION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41EA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43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41EA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interne de formation et de certification numérique — Démonstration</dc:title>
  <dc:subject>Document fictif de test RAG Cortex AI</dc:subject>
  <dc:creator>Cortex AI Demo</dc:creator>
  <cp:keywords>RAG, RH, formation, certification, cybersécurité, démonstration</cp:keywords>
  <dc:description>generated by python-docx</dc:description>
  <cp:lastModifiedBy/>
  <cp:revision>1</cp:revision>
  <dcterms:created xsi:type="dcterms:W3CDTF">2013-12-23T23:15:00Z</dcterms:created>
  <dcterms:modified xsi:type="dcterms:W3CDTF">2013-12-23T23:15:00Z</dcterms:modified>
  <cp:category/>
</cp:coreProperties>
</file>