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p>
    <w:p>
      <w:pPr>
        <w:spacing w:after="80" w:before="0"/>
        <w:jc w:val="center"/>
      </w:pPr>
      <w:r>
        <w:rPr>
          <w:rFonts w:ascii="Arial" w:cs="Arial" w:eastAsia="Arial" w:hAnsi="Arial"/>
          <w:b/>
          <w:bCs/>
          <w:caps/>
          <w:color w:val="888888"/>
          <w:sz w:val="28"/>
          <w:szCs w:val="28"/>
        </w:rPr>
        <w:t xml:space="preserve">CLINIQUE SAINTE-MARIE</w:t>
      </w:r>
    </w:p>
    <w:p>
      <w:pPr>
        <w:pBdr>
          <w:bottom w:val="single" w:color="2E75B6" w:sz="12" w:space="8"/>
        </w:pBdr>
        <w:spacing w:after="240" w:before="0"/>
        <w:jc w:val="center"/>
      </w:pPr>
      <w:r>
        <w:rPr>
          <w:rFonts w:ascii="Arial" w:cs="Arial" w:eastAsia="Arial" w:hAnsi="Arial"/>
          <w:color w:val="888888"/>
          <w:sz w:val="22"/>
          <w:szCs w:val="22"/>
        </w:rPr>
        <w:t xml:space="preserve">Montpellier — 180 lits — Service Cardiologie</w:t>
      </w:r>
    </w:p>
    <w:p>
      <w:pPr>
        <w:spacing w:after="0" w:before="240"/>
      </w:pPr>
    </w:p>
    <w:p>
      <w:pPr>
        <w:spacing w:after="80" w:before="0"/>
        <w:jc w:val="center"/>
      </w:pPr>
      <w:r>
        <w:rPr>
          <w:rFonts w:ascii="Arial" w:cs="Arial" w:eastAsia="Arial" w:hAnsi="Arial"/>
          <w:b/>
          <w:bCs/>
          <w:caps/>
          <w:color w:val="2E75B6"/>
          <w:sz w:val="24"/>
          <w:szCs w:val="24"/>
        </w:rPr>
        <w:t xml:space="preserve">DOSSIER D'ARCHITECTURE TECHNIQUE</w:t>
      </w:r>
    </w:p>
    <w:p>
      <w:pPr>
        <w:spacing w:after="80" w:before="0"/>
        <w:jc w:val="center"/>
      </w:pPr>
      <w:r>
        <w:rPr>
          <w:rFonts w:ascii="Arial" w:cs="Arial" w:eastAsia="Arial" w:hAnsi="Arial"/>
          <w:b/>
          <w:bCs/>
          <w:color w:val="1F4E79"/>
          <w:sz w:val="40"/>
          <w:szCs w:val="40"/>
        </w:rPr>
        <w:t xml:space="preserve">Projet 4 — Cas d'usage IHE XDS.b</w:t>
      </w:r>
    </w:p>
    <w:p>
      <w:pPr>
        <w:spacing w:after="480" w:before="0"/>
        <w:jc w:val="center"/>
      </w:pPr>
      <w:r>
        <w:rPr>
          <w:rFonts w:ascii="Arial" w:cs="Arial" w:eastAsia="Arial" w:hAnsi="Arial"/>
          <w:i/>
          <w:iCs/>
          <w:color w:val="555555"/>
          <w:sz w:val="26"/>
          <w:szCs w:val="26"/>
        </w:rPr>
        <w:t xml:space="preserve">Partage de documents médicaux via DMP / DRIMbox</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Référence</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CSM-DAT-P4-XDS-v2.0</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 Juin 2026</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Statut</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Cas pédagogique — données simulées</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Auteur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Portfolio Interopérabilité SI Santé</w:t>
            </w:r>
          </w:p>
        </w:tc>
      </w:tr>
    </w:tbl>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1. Contexte, objectifs et hypothèses</w:t>
      </w:r>
    </w:p>
    <w:p>
      <w:pPr>
        <w:pStyle w:val="Heading2"/>
        <w:spacing w:after="120" w:before="280"/>
      </w:pPr>
      <w:r>
        <w:rPr>
          <w:rFonts w:ascii="Arial" w:cs="Arial" w:eastAsia="Arial" w:hAnsi="Arial"/>
          <w:b/>
          <w:bCs/>
          <w:color w:val="2E75B6"/>
          <w:sz w:val="26"/>
          <w:szCs w:val="26"/>
        </w:rPr>
        <w:t xml:space="preserve">1.1 Présentation de l'établissement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6016"/>
      </w:tblGrid>
      <w:tr>
        <w:tc>
          <w:tcPr>
            <w:tcW w:type="dxa" w:w="30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Paramètre</w:t>
            </w:r>
          </w:p>
        </w:tc>
        <w:tc>
          <w:tcPr>
            <w:tcW w:type="dxa" w:w="601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Valeur</w:t>
            </w:r>
          </w:p>
        </w:tc>
      </w:tr>
      <w:tr>
        <w:tc>
          <w:tcPr>
            <w:tcW w:type="dxa" w:w="30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Établissement</w:t>
            </w:r>
          </w:p>
        </w:tc>
        <w:tc>
          <w:tcPr>
            <w:tcW w:type="dxa" w:w="60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Clinique Sainte-Marie — Montpellier (34)</w:t>
            </w:r>
          </w:p>
        </w:tc>
      </w:tr>
      <w:tr>
        <w:tc>
          <w:tcPr>
            <w:tcW w:type="dxa" w:w="30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Type</w:t>
            </w:r>
          </w:p>
        </w:tc>
        <w:tc>
          <w:tcPr>
            <w:tcW w:type="dxa" w:w="60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Établissement hospitalier privé — SA04</w:t>
            </w:r>
          </w:p>
        </w:tc>
      </w:tr>
      <w:tr>
        <w:tc>
          <w:tcPr>
            <w:tcW w:type="dxa" w:w="30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Capacité</w:t>
            </w:r>
          </w:p>
        </w:tc>
        <w:tc>
          <w:tcPr>
            <w:tcW w:type="dxa" w:w="60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180 lits — Spécialité cardiologie</w:t>
            </w:r>
          </w:p>
        </w:tc>
      </w:tr>
      <w:tr>
        <w:tc>
          <w:tcPr>
            <w:tcW w:type="dxa" w:w="30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Systèmes</w:t>
            </w:r>
          </w:p>
        </w:tc>
        <w:tc>
          <w:tcPr>
            <w:tcW w:type="dxa" w:w="60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DPI Orbis (Dedalus) · PACS/RIS Sectra · LIS Sysmex · PUI Génois · SIC Hemera</w:t>
            </w:r>
          </w:p>
        </w:tc>
      </w:tr>
      <w:tr>
        <w:tc>
          <w:tcPr>
            <w:tcW w:type="dxa" w:w="30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ESB</w:t>
            </w:r>
          </w:p>
        </w:tc>
        <w:tc>
          <w:tcPr>
            <w:tcW w:type="dxa" w:w="60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Mirth Connect (moteur d'intégration)</w:t>
            </w:r>
          </w:p>
        </w:tc>
      </w:tr>
      <w:tr>
        <w:tc>
          <w:tcPr>
            <w:tcW w:type="dxa" w:w="30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Patient de référence</w:t>
            </w:r>
          </w:p>
        </w:tc>
        <w:tc>
          <w:tcPr>
            <w:tcW w:type="dxa" w:w="60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Jean DUPONT — né 15/03/1968 — IPP 00012345 — INS-NIR 196803150123456</w:t>
            </w:r>
          </w:p>
        </w:tc>
      </w:tr>
    </w:tbl>
    <w:p>
      <w:pPr>
        <w:spacing w:after="80" w:before="80"/>
      </w:pPr>
    </w:p>
    <w:p>
      <w:pPr>
        <w:pStyle w:val="Heading2"/>
        <w:spacing w:after="120" w:before="280"/>
      </w:pPr>
      <w:r>
        <w:rPr>
          <w:rFonts w:ascii="Arial" w:cs="Arial" w:eastAsia="Arial" w:hAnsi="Arial"/>
          <w:b/>
          <w:bCs/>
          <w:color w:val="2E75B6"/>
          <w:sz w:val="26"/>
          <w:szCs w:val="26"/>
        </w:rPr>
        <w:t xml:space="preserve">1.2 Objectifs du projet</w:t>
      </w:r>
    </w:p>
    <w:p>
      <w:pPr>
        <w:spacing w:after="120" w:before="60"/>
      </w:pPr>
      <w:r>
        <w:rPr>
          <w:rFonts w:ascii="Arial" w:cs="Arial" w:eastAsia="Arial" w:hAnsi="Arial"/>
          <w:sz w:val="22"/>
          <w:szCs w:val="22"/>
        </w:rPr>
        <w:t xml:space="preserve">Ce dossier documente l'architecture de partage documentaire XDS.b de la Clinique Sainte-Marie. Il couvre la publication de documents médicaux vers le DMP national et la DRIMbox, ainsi que leur consultation par un professionnel de santé externe.</w:t>
      </w:r>
    </w:p>
    <w:p>
      <w:pPr>
        <w:spacing w:after="80" w:before="80"/>
      </w:pPr>
    </w:p>
    <w:p>
      <w:pPr>
        <w:spacing w:after="120" w:before="60"/>
      </w:pPr>
      <w:r>
        <w:rPr>
          <w:rFonts w:ascii="Arial" w:cs="Arial" w:eastAsia="Arial" w:hAnsi="Arial"/>
          <w:sz w:val="22"/>
          <w:szCs w:val="22"/>
        </w:rPr>
        <w:t xml:space="preserve">Les objectifs sont :</w:t>
      </w:r>
    </w:p>
    <w:p>
      <w:pPr>
        <w:pStyle w:val="ListParagraph"/>
        <w:numPr>
          <w:ilvl w:val="0"/>
          <w:numId w:val="2"/>
        </w:numPr>
        <w:spacing w:after="40" w:before="40"/>
      </w:pPr>
      <w:r>
        <w:rPr>
          <w:rFonts w:ascii="Arial" w:cs="Arial" w:eastAsia="Arial" w:hAnsi="Arial"/>
          <w:sz w:val="22"/>
          <w:szCs w:val="22"/>
        </w:rPr>
        <w:t xml:space="preserve">Documenter les acteurs, transactions et métadonnées IHE XDS.b dans le contexte de la clinique</w:t>
      </w:r>
    </w:p>
    <w:p>
      <w:pPr>
        <w:pStyle w:val="ListParagraph"/>
        <w:numPr>
          <w:ilvl w:val="0"/>
          <w:numId w:val="2"/>
        </w:numPr>
        <w:spacing w:after="40" w:before="40"/>
      </w:pPr>
      <w:r>
        <w:rPr>
          <w:rFonts w:ascii="Arial" w:cs="Arial" w:eastAsia="Arial" w:hAnsi="Arial"/>
          <w:sz w:val="22"/>
          <w:szCs w:val="22"/>
        </w:rPr>
        <w:t xml:space="preserve">Illustrer deux cas d'usage représentatifs : le flux nominal (CR de consultation) et le flux imagerie (DRIMbox/DRIM-M)</w:t>
      </w:r>
    </w:p>
    <w:p>
      <w:pPr>
        <w:pStyle w:val="ListParagraph"/>
        <w:numPr>
          <w:ilvl w:val="0"/>
          <w:numId w:val="2"/>
        </w:numPr>
        <w:spacing w:after="40" w:before="40"/>
      </w:pPr>
      <w:r>
        <w:rPr>
          <w:rFonts w:ascii="Arial" w:cs="Arial" w:eastAsia="Arial" w:hAnsi="Arial"/>
          <w:sz w:val="22"/>
          <w:szCs w:val="22"/>
        </w:rPr>
        <w:t xml:space="preserve">Justifier les choix d'architecture et identifier les limites</w:t>
      </w:r>
    </w:p>
    <w:p>
      <w:pPr>
        <w:pStyle w:val="ListParagraph"/>
        <w:numPr>
          <w:ilvl w:val="0"/>
          <w:numId w:val="2"/>
        </w:numPr>
        <w:spacing w:after="40" w:before="40"/>
      </w:pPr>
      <w:r>
        <w:rPr>
          <w:rFonts w:ascii="Arial" w:cs="Arial" w:eastAsia="Arial" w:hAnsi="Arial"/>
          <w:sz w:val="22"/>
          <w:szCs w:val="22"/>
        </w:rPr>
        <w:t xml:space="preserve">Articuler XDS.b avec l'approche FHIR/MHD dans une trajectoire Ségur du Numérique</w:t>
      </w:r>
    </w:p>
    <w:p>
      <w:pPr>
        <w:spacing w:after="80" w:before="80"/>
      </w:pPr>
    </w:p>
    <w:p>
      <w:pPr>
        <w:pStyle w:val="Heading2"/>
        <w:spacing w:after="120" w:before="280"/>
      </w:pPr>
      <w:r>
        <w:rPr>
          <w:rFonts w:ascii="Arial" w:cs="Arial" w:eastAsia="Arial" w:hAnsi="Arial"/>
          <w:b/>
          <w:bCs/>
          <w:color w:val="2E75B6"/>
          <w:sz w:val="26"/>
          <w:szCs w:val="26"/>
        </w:rPr>
        <w:t xml:space="preserve">1.3 Hypothèses et limites du projet portfolio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BA7517" w:sz="12"/>
              <w:bottom w:val="single" w:color="CCCCCC" w:sz="1"/>
              <w:right w:val="none" w:color="FFFFFF" w:sz="0"/>
            </w:tcBorders>
            <w:shd w:fill="FFFBF0" w:val="clear"/>
            <w:tcMar>
              <w:top w:type="dxa" w:w="100"/>
              <w:left w:type="dxa" w:w="200"/>
              <w:bottom w:type="dxa" w:w="100"/>
              <w:right w:type="dxa" w:w="120"/>
            </w:tcMar>
          </w:tcPr>
          <w:p>
            <w:r>
              <w:rPr>
                <w:rFonts w:ascii="Arial" w:cs="Arial" w:eastAsia="Arial" w:hAnsi="Arial"/>
                <w:b/>
                <w:bCs/>
                <w:color w:val="BA7517"/>
                <w:sz w:val="20"/>
                <w:szCs w:val="20"/>
              </w:rPr>
              <w:t xml:space="preserve">Note portfolio : </w:t>
            </w:r>
            <w:r>
              <w:rPr>
                <w:rFonts w:ascii="Arial" w:cs="Arial" w:eastAsia="Arial" w:hAnsi="Arial"/>
                <w:sz w:val="20"/>
                <w:szCs w:val="20"/>
              </w:rPr>
              <w:t xml:space="preserve">Ce projet est fictif et réalisé à des fins de portfolio. Il ne prétend pas reproduire l'intégralité des exigences DMP/DRIM-M de production. Les identifiants, patients, professionnels, OID et endpoints sont simulés. L'objectif est de démontrer la compréhension des profils IHE XDS.b, des métadonnées documentaires CI-SIS et de leur articulation avec FHIR/MHD.</w:t>
            </w:r>
          </w:p>
        </w:tc>
      </w:tr>
    </w:tbl>
    <w:p>
      <w:pPr>
        <w:spacing w:after="80" w:before="80"/>
      </w:pPr>
    </w:p>
    <w:p>
      <w:pPr>
        <w:spacing w:after="120" w:before="60"/>
      </w:pPr>
      <w:r>
        <w:rPr>
          <w:rFonts w:ascii="Arial" w:cs="Arial" w:eastAsia="Arial" w:hAnsi="Arial"/>
          <w:sz w:val="22"/>
          <w:szCs w:val="22"/>
        </w:rPr>
        <w:t xml:space="preserve">Hypothèses retenues :</w:t>
      </w:r>
    </w:p>
    <w:p>
      <w:pPr>
        <w:pStyle w:val="ListParagraph"/>
        <w:numPr>
          <w:ilvl w:val="0"/>
          <w:numId w:val="2"/>
        </w:numPr>
        <w:spacing w:after="40" w:before="40"/>
      </w:pPr>
      <w:r>
        <w:rPr>
          <w:rFonts w:ascii="Arial" w:cs="Arial" w:eastAsia="Arial" w:hAnsi="Arial"/>
          <w:sz w:val="22"/>
          <w:szCs w:val="22"/>
        </w:rPr>
        <w:t xml:space="preserve">Deux cas d'usage sont détaillés (CR consultation, CR imagerie) — les flux biologie et lettre de sortie suivent le même pattern que le flux nominal et sont présentés en synthèse</w:t>
      </w:r>
    </w:p>
    <w:p>
      <w:pPr>
        <w:pStyle w:val="ListParagraph"/>
        <w:numPr>
          <w:ilvl w:val="0"/>
          <w:numId w:val="2"/>
        </w:numPr>
        <w:spacing w:after="40" w:before="40"/>
      </w:pPr>
      <w:r>
        <w:rPr>
          <w:rFonts w:ascii="Arial" w:cs="Arial" w:eastAsia="Arial" w:hAnsi="Arial"/>
          <w:sz w:val="22"/>
          <w:szCs w:val="22"/>
        </w:rPr>
        <w:t xml:space="preserve">Les documents sont au format PDF/A dans ce portfolio — en production, la biologie est attendue en CDA R2 N3 selon les exigences CI-SIS</w:t>
      </w:r>
    </w:p>
    <w:p>
      <w:pPr>
        <w:pStyle w:val="ListParagraph"/>
        <w:numPr>
          <w:ilvl w:val="0"/>
          <w:numId w:val="2"/>
        </w:numPr>
        <w:spacing w:after="40" w:before="40"/>
      </w:pPr>
      <w:r>
        <w:rPr>
          <w:rFonts w:ascii="Arial" w:cs="Arial" w:eastAsia="Arial" w:hAnsi="Arial"/>
          <w:sz w:val="22"/>
          <w:szCs w:val="22"/>
        </w:rPr>
        <w:t xml:space="preserve">Les OID utilisés sont illustratifs et ne correspondent pas à des OID réels enregistrés</w:t>
      </w:r>
    </w:p>
    <w:p>
      <w:pPr>
        <w:pStyle w:val="ListParagraph"/>
        <w:numPr>
          <w:ilvl w:val="0"/>
          <w:numId w:val="2"/>
        </w:numPr>
        <w:spacing w:after="40" w:before="40"/>
      </w:pPr>
      <w:r>
        <w:rPr>
          <w:rFonts w:ascii="Arial" w:cs="Arial" w:eastAsia="Arial" w:hAnsi="Arial"/>
          <w:sz w:val="22"/>
          <w:szCs w:val="22"/>
        </w:rPr>
        <w:t xml:space="preserve">La DRIMbox est modélisée selon le cadre DRIM-M de l'ANS — son rôle exact est nuancé en section 2.4</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2. Rappel IHE XDS.b et contexte français</w:t>
      </w:r>
    </w:p>
    <w:p>
      <w:pPr>
        <w:pStyle w:val="Heading2"/>
        <w:spacing w:after="120" w:before="280"/>
      </w:pPr>
      <w:r>
        <w:rPr>
          <w:rFonts w:ascii="Arial" w:cs="Arial" w:eastAsia="Arial" w:hAnsi="Arial"/>
          <w:b/>
          <w:bCs/>
          <w:color w:val="2E75B6"/>
          <w:sz w:val="26"/>
          <w:szCs w:val="26"/>
        </w:rPr>
        <w:t xml:space="preserve">2.1 Définition et positionnement</w:t>
      </w:r>
    </w:p>
    <w:p>
      <w:pPr>
        <w:spacing w:after="120" w:before="60"/>
      </w:pPr>
      <w:r>
        <w:rPr>
          <w:rFonts w:ascii="Arial" w:cs="Arial" w:eastAsia="Arial" w:hAnsi="Arial"/>
          <w:sz w:val="22"/>
          <w:szCs w:val="22"/>
        </w:rPr>
        <w:t xml:space="preserve">IHE (Integrating the Healthcare Enterprise) est une initiative internationale qui définit des profils d'intégration standardisés pour les systèmes d'information de santé. Ces profils contraignent des standards existants (HL7, DICOM, SOAP) pour des cas d'usage précis, validés sur la plateforme Gazelle ANS.</w:t>
      </w:r>
    </w:p>
    <w:p>
      <w:pPr>
        <w:spacing w:after="80" w:before="80"/>
      </w:pPr>
    </w:p>
    <w:p>
      <w:pPr>
        <w:spacing w:after="120" w:before="60"/>
      </w:pPr>
      <w:r>
        <w:rPr>
          <w:rFonts w:ascii="Arial" w:cs="Arial" w:eastAsia="Arial" w:hAnsi="Arial"/>
          <w:b/>
          <w:bCs/>
          <w:sz w:val="22"/>
          <w:szCs w:val="22"/>
        </w:rPr>
        <w:t xml:space="preserve">XDS.b</w:t>
      </w:r>
      <w:r>
        <w:rPr>
          <w:rFonts w:ascii="Arial" w:cs="Arial" w:eastAsia="Arial" w:hAnsi="Arial"/>
          <w:sz w:val="22"/>
          <w:szCs w:val="22"/>
        </w:rPr>
        <w:t xml:space="preserve"> (Cross-Enterprise Document Sharing) est le profil IHE dédié au partage de documents médicaux entre établissements. Il s'appuie sur des échanges SOAP/HTTPS et ebXML, et définit 4 acteurs ainsi que plusieurs transactions identifiées par un code ITI (IT Infrastructure).</w:t>
      </w:r>
    </w:p>
    <w:p>
      <w:pPr>
        <w:spacing w:after="80" w:before="80"/>
      </w:pPr>
    </w:p>
    <w:p>
      <w:pPr>
        <w:pStyle w:val="Heading2"/>
        <w:spacing w:after="120" w:before="280"/>
      </w:pPr>
      <w:r>
        <w:rPr>
          <w:rFonts w:ascii="Arial" w:cs="Arial" w:eastAsia="Arial" w:hAnsi="Arial"/>
          <w:b/>
          <w:bCs/>
          <w:color w:val="2E75B6"/>
          <w:sz w:val="26"/>
          <w:szCs w:val="26"/>
        </w:rPr>
        <w:t xml:space="preserve">2.2 Les 4 acteurs IHE XDS.b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010"/>
        <w:gridCol w:w="3760"/>
      </w:tblGrid>
      <w:tr>
        <w:tc>
          <w:tcPr>
            <w:tcW w:type="dxa" w:w="225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Acteur</w:t>
            </w:r>
          </w:p>
        </w:tc>
        <w:tc>
          <w:tcPr>
            <w:tcW w:type="dxa" w:w="30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Rôle</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Équivalent Sainte-Marie</w:t>
            </w:r>
          </w:p>
        </w:tc>
      </w:tr>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Document Source</w:t>
            </w:r>
          </w:p>
        </w:tc>
        <w:tc>
          <w:tcPr>
            <w:tcW w:type="dxa" w:w="3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Produit et publie les documents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DPI Orbis, PACS/RIS Sectra (via DRIMbox), LIS Sysmex</w:t>
            </w:r>
          </w:p>
        </w:tc>
      </w:tr>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Document Repository</w:t>
            </w:r>
          </w:p>
        </w:tc>
        <w:tc>
          <w:tcPr>
            <w:tcW w:type="dxa" w:w="3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Stocke le contenu des documents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DMP Repository (Cnam) — DRIMbox pour l'imagerie</w:t>
            </w:r>
          </w:p>
        </w:tc>
      </w:tr>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Document Registry</w:t>
            </w:r>
          </w:p>
        </w:tc>
        <w:tc>
          <w:tcPr>
            <w:tcW w:type="dxa" w:w="3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Gère l'index des métadonnées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DMP Registry (Cnam — annuaire national)</w:t>
            </w:r>
          </w:p>
        </w:tc>
      </w:tr>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Document Consumer</w:t>
            </w:r>
          </w:p>
        </w:tc>
        <w:tc>
          <w:tcPr>
            <w:tcW w:type="dxa" w:w="3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Recherche et récupère des documents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DPI Orbis, portail médecin libéral</w:t>
            </w:r>
          </w:p>
        </w:tc>
      </w:tr>
    </w:tbl>
    <w:p>
      <w:pPr>
        <w:spacing w:after="80" w:before="80"/>
      </w:pPr>
    </w:p>
    <w:p>
      <w:pPr>
        <w:pStyle w:val="Heading2"/>
        <w:spacing w:after="120" w:before="280"/>
      </w:pPr>
      <w:r>
        <w:rPr>
          <w:rFonts w:ascii="Arial" w:cs="Arial" w:eastAsia="Arial" w:hAnsi="Arial"/>
          <w:b/>
          <w:bCs/>
          <w:color w:val="2E75B6"/>
          <w:sz w:val="26"/>
          <w:szCs w:val="26"/>
        </w:rPr>
        <w:t xml:space="preserve">2.3 Les transactions principales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5"/>
        <w:gridCol w:w="2756"/>
        <w:gridCol w:w="4765"/>
      </w:tblGrid>
      <w:tr>
        <w:tc>
          <w:tcPr>
            <w:tcW w:type="dxa" w:w="150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Code ITI</w:t>
            </w:r>
          </w:p>
        </w:tc>
        <w:tc>
          <w:tcPr>
            <w:tcW w:type="dxa" w:w="275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Nom</w:t>
            </w:r>
          </w:p>
        </w:tc>
        <w:tc>
          <w:tcPr>
            <w:tcW w:type="dxa" w:w="476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Description</w:t>
            </w:r>
          </w:p>
        </w:tc>
      </w:tr>
      <w:tr>
        <w:tc>
          <w:tcPr>
            <w:tcW w:type="dxa" w:w="15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ITI-41</w:t>
            </w:r>
          </w:p>
        </w:tc>
        <w:tc>
          <w:tcPr>
            <w:tcW w:type="dxa" w:w="2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Provide &amp; Register Document Set-b</w:t>
            </w:r>
          </w:p>
        </w:tc>
        <w:tc>
          <w:tcPr>
            <w:tcW w:type="dxa" w:w="47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La Source envoie le document + métadonnées au Repository</w:t>
            </w:r>
          </w:p>
        </w:tc>
      </w:tr>
      <w:tr>
        <w:tc>
          <w:tcPr>
            <w:tcW w:type="dxa" w:w="15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ITI-42</w:t>
            </w:r>
          </w:p>
        </w:tc>
        <w:tc>
          <w:tcPr>
            <w:tcW w:type="dxa" w:w="2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Register Document Set-b</w:t>
            </w:r>
          </w:p>
        </w:tc>
        <w:tc>
          <w:tcPr>
            <w:tcW w:type="dxa" w:w="47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Le Repository enregistre les métadonnées dans le Registry (interne)</w:t>
            </w:r>
          </w:p>
        </w:tc>
      </w:tr>
      <w:tr>
        <w:tc>
          <w:tcPr>
            <w:tcW w:type="dxa" w:w="15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ITI-18</w:t>
            </w:r>
          </w:p>
        </w:tc>
        <w:tc>
          <w:tcPr>
            <w:tcW w:type="dxa" w:w="2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Registry Stored Query</w:t>
            </w:r>
          </w:p>
        </w:tc>
        <w:tc>
          <w:tcPr>
            <w:tcW w:type="dxa" w:w="47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Le Consumer interroge le Registry — recherche de documents</w:t>
            </w:r>
          </w:p>
        </w:tc>
      </w:tr>
      <w:tr>
        <w:tc>
          <w:tcPr>
            <w:tcW w:type="dxa" w:w="15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ITI-43</w:t>
            </w:r>
          </w:p>
        </w:tc>
        <w:tc>
          <w:tcPr>
            <w:tcW w:type="dxa" w:w="2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Retrieve Document Set</w:t>
            </w:r>
          </w:p>
        </w:tc>
        <w:tc>
          <w:tcPr>
            <w:tcW w:type="dxa" w:w="47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Le Consumer récupère le document depuis le Repository</w:t>
            </w:r>
          </w:p>
        </w:tc>
      </w:tr>
    </w:tbl>
    <w:p>
      <w:pPr>
        <w:spacing w:after="80" w:before="80"/>
      </w:pPr>
    </w:p>
    <w:p>
      <w:pPr>
        <w:pStyle w:val="Heading2"/>
        <w:spacing w:after="120" w:before="280"/>
      </w:pPr>
      <w:r>
        <w:rPr>
          <w:rFonts w:ascii="Arial" w:cs="Arial" w:eastAsia="Arial" w:hAnsi="Arial"/>
          <w:b/>
          <w:bCs/>
          <w:color w:val="2E75B6"/>
          <w:sz w:val="26"/>
          <w:szCs w:val="26"/>
        </w:rPr>
        <w:t xml:space="preserve">2.4 Contexte français — DMP, DRIMbox et DRIM-M</w:t>
      </w:r>
    </w:p>
    <w:p>
      <w:pPr>
        <w:spacing w:after="120" w:before="60"/>
      </w:pPr>
      <w:r>
        <w:rPr>
          <w:rFonts w:ascii="Arial" w:cs="Arial" w:eastAsia="Arial" w:hAnsi="Arial"/>
          <w:sz w:val="22"/>
          <w:szCs w:val="22"/>
        </w:rPr>
        <w:t xml:space="preserve">En France, l'implémentation de XDS.b s'inscrit dans le CI-SIS (Cadre d'Interopérabilité des Systèmes d'Information de Santé) publié par l'ANS. Le DMP (Dossier Médical Partagé), opéré par la Cnam, joue le rôle de Registry et Repository national.</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4514"/>
      </w:tblGrid>
      <w:tr>
        <w:tc>
          <w:tcPr>
            <w:tcW w:type="dxa" w:w="225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Acteur XDS</w:t>
            </w:r>
          </w:p>
        </w:tc>
        <w:tc>
          <w:tcPr>
            <w:tcW w:type="dxa" w:w="225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Équivalent France</w:t>
            </w:r>
          </w:p>
        </w:tc>
        <w:tc>
          <w:tcPr>
            <w:tcW w:type="dxa" w:w="451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Opérateur / précision</w:t>
            </w:r>
          </w:p>
        </w:tc>
      </w:tr>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Document Registry</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DMP — index national</w:t>
            </w:r>
          </w:p>
        </w:tc>
        <w:tc>
          <w:tcPr>
            <w:tcW w:type="dxa" w:w="45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Cnam — indexation des métadonnées XDS</w:t>
            </w:r>
          </w:p>
        </w:tc>
      </w:tr>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Document Repository</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DMP + DRIMbox</w:t>
            </w:r>
          </w:p>
        </w:tc>
        <w:tc>
          <w:tcPr>
            <w:tcW w:type="dxa" w:w="45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Cnam pour les documents textuels — DRIMbox pour l'imagerie</w:t>
            </w:r>
          </w:p>
        </w:tc>
      </w:tr>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Document Source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DPI, LIS, RIS</w:t>
            </w:r>
          </w:p>
        </w:tc>
        <w:tc>
          <w:tcPr>
            <w:tcW w:type="dxa" w:w="45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Connecteurs éditeurs certifiés (Orbis, Sysmex, Sectra)</w:t>
            </w:r>
          </w:p>
        </w:tc>
      </w:tr>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Document Consumer</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DPI, portail pro</w:t>
            </w:r>
          </w:p>
        </w:tc>
        <w:tc>
          <w:tcPr>
            <w:tcW w:type="dxa" w:w="45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Établissement, médecin libéral, Mon Espace Santé</w:t>
            </w:r>
          </w:p>
        </w:tc>
      </w:tr>
    </w:tbl>
    <w:p>
      <w:pPr>
        <w:spacing w:after="80" w:before="80"/>
      </w:pPr>
    </w:p>
    <w:p>
      <w:pPr>
        <w:pStyle w:val="Heading3"/>
        <w:spacing w:after="80" w:before="200"/>
      </w:pPr>
      <w:r>
        <w:rPr>
          <w:rFonts w:ascii="Arial" w:cs="Arial" w:eastAsia="Arial" w:hAnsi="Arial"/>
          <w:b/>
          <w:bCs/>
          <w:color w:val="404040"/>
          <w:sz w:val="24"/>
          <w:szCs w:val="24"/>
        </w:rPr>
        <w:t xml:space="preserve">Rôle précis de la DRIMbox dans le cadre DRIM-M</w:t>
      </w:r>
    </w:p>
    <w:p>
      <w:pPr>
        <w:spacing w:after="120" w:before="60"/>
      </w:pPr>
      <w:r>
        <w:rPr>
          <w:rFonts w:ascii="Arial" w:cs="Arial" w:eastAsia="Arial" w:hAnsi="Arial"/>
          <w:sz w:val="22"/>
          <w:szCs w:val="22"/>
        </w:rPr>
        <w:t xml:space="preserve">La DRIMbox ne doit pas être confondue avec un simple connecteur DMP pour l'imagerie. Dans le cadre DRIM-M (Dispositif de Référencement des Imageries Médicales), l'ANS distingue deux composants :</w:t>
      </w:r>
    </w:p>
    <w:p>
      <w:pPr>
        <w:spacing w:after="80" w:before="80"/>
      </w:pPr>
    </w:p>
    <w:p>
      <w:pPr>
        <w:pStyle w:val="ListParagraph"/>
        <w:numPr>
          <w:ilvl w:val="0"/>
          <w:numId w:val="2"/>
        </w:numPr>
        <w:spacing w:after="40" w:before="40"/>
      </w:pPr>
      <w:r>
        <w:rPr>
          <w:rFonts w:ascii="Arial" w:cs="Arial" w:eastAsia="Arial" w:hAnsi="Arial"/>
          <w:sz w:val="22"/>
          <w:szCs w:val="22"/>
        </w:rPr>
        <w:t xml:space="preserve">DRIMbox Source : déployée dans l'établissement, elle assure l'alimentation du DMP avec les références nécessaires aux examens d'imagerie — notamment les KOS (Key Object Selection) — et publie les documents de référence vers le DMP Registry</w:t>
      </w:r>
    </w:p>
    <w:p>
      <w:pPr>
        <w:pStyle w:val="ListParagraph"/>
        <w:numPr>
          <w:ilvl w:val="0"/>
          <w:numId w:val="2"/>
        </w:numPr>
        <w:spacing w:after="40" w:before="40"/>
      </w:pPr>
      <w:r>
        <w:rPr>
          <w:rFonts w:ascii="Arial" w:cs="Arial" w:eastAsia="Arial" w:hAnsi="Arial"/>
          <w:sz w:val="22"/>
          <w:szCs w:val="22"/>
        </w:rPr>
        <w:t xml:space="preserve">DRIMbox Consommatrice : permet l'accès aux images stockées dans le PACS local depuis l'extérieur, via le réseau sécurisé DRIM-M</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00000" w:sz="12"/>
              <w:bottom w:val="single" w:color="CCCCCC" w:sz="1"/>
              <w:right w:val="none" w:color="FFFFFF" w:sz="0"/>
            </w:tcBorders>
            <w:shd w:fill="FFF2F2" w:val="clear"/>
            <w:tcMar>
              <w:top w:type="dxa" w:w="100"/>
              <w:left w:type="dxa" w:w="200"/>
              <w:bottom w:type="dxa" w:w="100"/>
              <w:right w:type="dxa" w:w="120"/>
            </w:tcMar>
          </w:tcPr>
          <w:p>
            <w:r>
              <w:rPr>
                <w:rFonts w:ascii="Arial" w:cs="Arial" w:eastAsia="Arial" w:hAnsi="Arial"/>
                <w:b/>
                <w:bCs/>
                <w:color w:val="C00000"/>
                <w:sz w:val="20"/>
                <w:szCs w:val="20"/>
              </w:rPr>
              <w:t xml:space="preserve">Attention : </w:t>
            </w:r>
            <w:r>
              <w:rPr>
                <w:rFonts w:ascii="Arial" w:cs="Arial" w:eastAsia="Arial" w:hAnsi="Arial"/>
                <w:sz w:val="20"/>
                <w:szCs w:val="20"/>
              </w:rPr>
              <w:t xml:space="preserve">Le compte-rendu d'imagerie (CR textuel) reste produit par le RIS Sectra ou le système de compte-rendu, puis partagé selon les exigences CI-SIS/DMP. La DRIMbox gère les références aux objets d'imagerie (KOS, DICOM), pas le CR textuel lui-même. Dans ce portfolio, le flux F2 illustre la publication d'un CR textuel via la DRIMbox Source — simplification pédagogique documentée.</w:t>
            </w:r>
          </w:p>
        </w:tc>
      </w:tr>
    </w:tbl>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3. Architecture fonctionnelle</w:t>
      </w:r>
    </w:p>
    <w:p>
      <w:pPr>
        <w:pStyle w:val="Heading2"/>
        <w:spacing w:after="120" w:before="280"/>
      </w:pPr>
      <w:r>
        <w:rPr>
          <w:rFonts w:ascii="Arial" w:cs="Arial" w:eastAsia="Arial" w:hAnsi="Arial"/>
          <w:b/>
          <w:bCs/>
          <w:color w:val="2E75B6"/>
          <w:sz w:val="26"/>
          <w:szCs w:val="26"/>
        </w:rPr>
        <w:t xml:space="preserve">3.1 Systèmes impliqués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26"/>
        <w:gridCol w:w="30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Système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Éditeur</w:t>
            </w:r>
          </w:p>
        </w:tc>
        <w:tc>
          <w:tcPr>
            <w:tcW w:type="dxa" w:w="2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Rôle IHE XDS</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Documents produits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DPI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Orbis (Dedalus)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Document Source / Consumer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CR consultation, lettre de sortie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PACS/RIS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Sectra</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Document Source (via DRIMbox)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Référence imagerie (KOS), CR textuel</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LIS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Sysmex</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Document Source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CR biologie (PDF/A — CDA R2 N3 en cible)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ESB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Mirth Connect</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Orchestration / résilience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File d'attente, retry, supervision</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DMP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Cnam</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Registry + Repository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Indexation et stockage national</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DRIMbox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Sectra / ANS (DRIM-M)</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Source (KOS) + accès images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Références imagerie vers DMP</w:t>
            </w:r>
          </w:p>
        </w:tc>
      </w:tr>
    </w:tbl>
    <w:p>
      <w:pPr>
        <w:spacing w:after="80" w:before="80"/>
      </w:pPr>
    </w:p>
    <w:p>
      <w:pPr>
        <w:pStyle w:val="Heading2"/>
        <w:spacing w:after="120" w:before="280"/>
      </w:pPr>
      <w:r>
        <w:rPr>
          <w:rFonts w:ascii="Arial" w:cs="Arial" w:eastAsia="Arial" w:hAnsi="Arial"/>
          <w:b/>
          <w:bCs/>
          <w:color w:val="2E75B6"/>
          <w:sz w:val="26"/>
          <w:szCs w:val="26"/>
        </w:rPr>
        <w:t xml:space="preserve">3.2 Parcours clinique Jean DUPONT — vue des flux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2E75B6" w:sz="12"/>
              <w:bottom w:val="single" w:color="CCCCCC" w:sz="1"/>
              <w:right w:val="none" w:color="FFFFFF" w:sz="0"/>
            </w:tcBorders>
            <w:shd w:fill="D5E8F0" w:val="clear"/>
            <w:tcMar>
              <w:top w:type="dxa" w:w="100"/>
              <w:left w:type="dxa" w:w="200"/>
              <w:bottom w:type="dxa" w:w="100"/>
              <w:right w:type="dxa" w:w="120"/>
            </w:tcMar>
          </w:tcPr>
          <w:p>
            <w:r>
              <w:rPr>
                <w:rFonts w:ascii="Arial" w:cs="Arial" w:eastAsia="Arial" w:hAnsi="Arial"/>
                <w:b/>
                <w:bCs/>
                <w:color w:val="2E75B6"/>
                <w:sz w:val="20"/>
                <w:szCs w:val="20"/>
              </w:rPr>
              <w:t xml:space="preserve">Patient de référence : </w:t>
            </w:r>
            <w:r>
              <w:rPr>
                <w:rFonts w:ascii="Arial" w:cs="Arial" w:eastAsia="Arial" w:hAnsi="Arial"/>
                <w:sz w:val="20"/>
                <w:szCs w:val="20"/>
              </w:rPr>
              <w:t xml:space="preserve">Jean DUPONT — né 15/03/1968 — IPP 00012345 — INS-NIR 196803150123456</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800"/>
        <w:gridCol w:w="2000"/>
        <w:gridCol w:w="2926"/>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Document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Source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Transaction</w:t>
            </w:r>
          </w:p>
        </w:tc>
        <w:tc>
          <w:tcPr>
            <w:tcW w:type="dxa" w:w="29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Destination</w:t>
            </w:r>
          </w:p>
        </w:tc>
      </w:tr>
      <w:tr>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CR consultation cardiologie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DPI Orbis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ITI-41 — CAS DÉTAILLÉ</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DMP Registry + Repository</w:t>
            </w:r>
          </w:p>
        </w:tc>
      </w:tr>
      <w:tr>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CR imagerie échographie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Sectra + DRIMbox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ITI-41 — CAS DÉTAILLÉ</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DRIMbox Source → DMP</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Résultats biologie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LIS Sysmex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20"/>
                <w:szCs w:val="20"/>
              </w:rPr>
              <w:t xml:space="preserve">ITI-41 — pattern F1</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DMP Registry + Repository</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Lettre de sortie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DPI Orbis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20"/>
                <w:szCs w:val="20"/>
              </w:rPr>
              <w:t xml:space="preserve">ITI-41 — pattern F1</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DMP Registry + Repository</w:t>
            </w:r>
          </w:p>
        </w:tc>
      </w:tr>
      <w:tr>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Consultation dossier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Médecin libéral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ITI-18 + ITI-43</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DMP Registry puis Repository</w:t>
            </w:r>
          </w:p>
        </w:tc>
      </w:tr>
    </w:tbl>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4. Métadonnées XDSDocumentEntry — choix et documentation</w:t>
      </w:r>
    </w:p>
    <w:p>
      <w:pPr>
        <w:pStyle w:val="Heading2"/>
        <w:spacing w:after="120" w:before="280"/>
      </w:pPr>
      <w:r>
        <w:rPr>
          <w:rFonts w:ascii="Arial" w:cs="Arial" w:eastAsia="Arial" w:hAnsi="Arial"/>
          <w:b/>
          <w:bCs/>
          <w:color w:val="2E75B6"/>
          <w:sz w:val="26"/>
          <w:szCs w:val="26"/>
        </w:rPr>
        <w:t xml:space="preserve">4.1 Justification architecturale — pourquoi DocumentEntry</w:t>
      </w:r>
    </w:p>
    <w:p>
      <w:pPr>
        <w:spacing w:after="120" w:before="60"/>
      </w:pPr>
      <w:r>
        <w:rPr>
          <w:rFonts w:ascii="Arial" w:cs="Arial" w:eastAsia="Arial" w:hAnsi="Arial"/>
          <w:sz w:val="22"/>
          <w:szCs w:val="22"/>
        </w:rPr>
        <w:t xml:space="preserve">Le modèle MOS (Modèle des Objets de Santé) de l'ANS définit 6 classes dans la partie PartageDocument. Ce dossier documente en détail le DocumentEntry (Fiche) — voici la justification de ce choix.</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5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Classe MOS</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Équivalent XDS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Équivalent FHIR/MHD</w:t>
            </w:r>
          </w:p>
        </w:tc>
        <w:tc>
          <w:tcPr>
            <w:tcW w:type="dxa" w:w="2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Niveau de documentation</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LotSoumission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SubmissionSet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DocumentManifest</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Simplifié — construit par le connecteur éditeur</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Fiche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DocumentEntry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DocumentReference</w:t>
            </w:r>
          </w:p>
        </w:tc>
        <w:tc>
          <w:tcPr>
            <w:tcW w:type="dxa" w:w="2526"/>
            <w:tcBorders>
              <w:top w:val="single" w:color="CCCCCC" w:sz="1"/>
              <w:left w:val="single" w:color="CCCCCC" w:sz="1"/>
              <w:bottom w:val="single" w:color="CCCCCC" w:sz="1"/>
              <w:right w:val="single" w:color="CCCCCC" w:sz="1"/>
            </w:tcBorders>
            <w:shd w:fill="F0FF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DÉTAILLÉ — objet central du Registry</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Document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Document (binaire)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Binary</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Hors périmètre métadonnées — contenu opaque</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Professionnel / Patient / Dispositif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Sous-composants DocumentEntry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Practitioner / Patient / Device (ref.)</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Intégrés dans DocumentEntry — pas d'objet séparé en XDS</w:t>
            </w:r>
          </w:p>
        </w:tc>
      </w:tr>
    </w:tbl>
    <w:p>
      <w:pPr>
        <w:spacing w:after="80" w:before="80"/>
      </w:pPr>
    </w:p>
    <w:p>
      <w:pPr>
        <w:spacing w:after="120" w:before="60"/>
      </w:pPr>
      <w:r>
        <w:rPr>
          <w:rFonts w:ascii="Arial" w:cs="Arial" w:eastAsia="Arial" w:hAnsi="Arial"/>
          <w:sz w:val="22"/>
          <w:szCs w:val="22"/>
        </w:rPr>
        <w:t xml:space="preserve">Le DocumentEntry (Fiche) est l'objet central pour trois raisons architecturales :</w:t>
      </w:r>
    </w:p>
    <w:p>
      <w:pPr>
        <w:pStyle w:val="ListParagraph"/>
        <w:numPr>
          <w:ilvl w:val="0"/>
          <w:numId w:val="2"/>
        </w:numPr>
        <w:spacing w:after="40" w:before="40"/>
      </w:pPr>
      <w:r>
        <w:rPr>
          <w:rFonts w:ascii="Arial" w:cs="Arial" w:eastAsia="Arial" w:hAnsi="Arial"/>
          <w:sz w:val="22"/>
          <w:szCs w:val="22"/>
        </w:rPr>
        <w:t xml:space="preserve">C'est lui que le DMP Registry indexe et que le Consumer interroge via ITI-18 — sans DocumentEntry correct, aucune recherche n'est possible</w:t>
      </w:r>
    </w:p>
    <w:p>
      <w:pPr>
        <w:pStyle w:val="ListParagraph"/>
        <w:numPr>
          <w:ilvl w:val="0"/>
          <w:numId w:val="2"/>
        </w:numPr>
        <w:spacing w:after="40" w:before="40"/>
      </w:pPr>
      <w:r>
        <w:rPr>
          <w:rFonts w:ascii="Arial" w:cs="Arial" w:eastAsia="Arial" w:hAnsi="Arial"/>
          <w:sz w:val="22"/>
          <w:szCs w:val="22"/>
        </w:rPr>
        <w:t xml:space="preserve">Il porte toute la sémantique métier : typeCode, classCode, practiceSettingCode, patientId — c'est la carte d'identité du document</w:t>
      </w:r>
    </w:p>
    <w:p>
      <w:pPr>
        <w:pStyle w:val="ListParagraph"/>
        <w:numPr>
          <w:ilvl w:val="0"/>
          <w:numId w:val="2"/>
        </w:numPr>
        <w:spacing w:after="40" w:before="40"/>
      </w:pPr>
      <w:r>
        <w:rPr>
          <w:rFonts w:ascii="Arial" w:cs="Arial" w:eastAsia="Arial" w:hAnsi="Arial"/>
          <w:sz w:val="22"/>
          <w:szCs w:val="22"/>
        </w:rPr>
        <w:t xml:space="preserve">Le SubmissionSet est un objet transactionnel construit automatiquement par le connecteur éditeur (Orbis, Sectra, Sysmex) — l'architecte en définit la structure mais ne le documente pas au même niveau de détail</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0F6E56" w:sz="12"/>
              <w:bottom w:val="single" w:color="CCCCCC" w:sz="1"/>
              <w:right w:val="none" w:color="FFFFFF" w:sz="0"/>
            </w:tcBorders>
            <w:shd w:fill="F0FFF8" w:val="clear"/>
            <w:tcMar>
              <w:top w:type="dxa" w:w="100"/>
              <w:left w:type="dxa" w:w="200"/>
              <w:bottom w:type="dxa" w:w="100"/>
              <w:right w:type="dxa" w:w="120"/>
            </w:tcMar>
          </w:tcPr>
          <w:p>
            <w:r>
              <w:rPr>
                <w:rFonts w:ascii="Arial" w:cs="Arial" w:eastAsia="Arial" w:hAnsi="Arial"/>
                <w:b/>
                <w:bCs/>
                <w:color w:val="0F6E56"/>
                <w:sz w:val="20"/>
                <w:szCs w:val="20"/>
              </w:rPr>
              <w:t xml:space="preserve">Point clé : </w:t>
            </w:r>
            <w:r>
              <w:rPr>
                <w:rFonts w:ascii="Arial" w:cs="Arial" w:eastAsia="Arial" w:hAnsi="Arial"/>
                <w:sz w:val="20"/>
                <w:szCs w:val="20"/>
              </w:rPr>
              <w:t xml:space="preserve">En XDS, les données de Professionnel/Patient/Dispositif sont des sous-composants intégrés dans le DocumentEntry (authorPerson, sourcePatientInfo). En FHIR/MHD, ce sont des ressources séparées référencées (Practitioner, Patient, Device). C'est une différence architecturale fondamentale entre les deux approches.</w:t>
            </w:r>
          </w:p>
        </w:tc>
      </w:tr>
    </w:tbl>
    <w:p>
      <w:pPr>
        <w:spacing w:after="80" w:before="80"/>
      </w:pPr>
    </w:p>
    <w:p>
      <w:pPr>
        <w:pStyle w:val="Heading2"/>
        <w:spacing w:after="120" w:before="280"/>
      </w:pPr>
      <w:r>
        <w:rPr>
          <w:rFonts w:ascii="Arial" w:cs="Arial" w:eastAsia="Arial" w:hAnsi="Arial"/>
          <w:b/>
          <w:bCs/>
          <w:color w:val="2E75B6"/>
          <w:sz w:val="26"/>
          <w:szCs w:val="26"/>
        </w:rPr>
        <w:t xml:space="preserve">4.2 Métadonnées communes aux 2 cas documentés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Métadonnée</w:t>
            </w:r>
          </w:p>
        </w:tc>
        <w:tc>
          <w:tcPr>
            <w:tcW w:type="dxa" w:w="3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Valeur</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JDV ANS / Source</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patientId</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196803150123456^^^&amp;1.2.250.1.213.1.4.8&amp;ISO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INS-NIR Jean DUPONT — OID 1.2.250.1.213.1.4.8</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sourcePatientId</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00012345^^^&amp;1.2.3.4.5&amp;ISO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IPP local Clinique Sainte-Marie</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healthcareFacilityCode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SA04 — Établissement privé</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JDV_J02-XdsHealthcareFacilityTypeCode-CISIS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confidentialityCode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N — Normal (non masqué)</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JDV_J58-ConfidentialityCode-DMP</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languageCode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fr-FR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RFC 5646</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classCode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COMPTE-RENDU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JDV_J57-ClassCode-DMP — TRE_A03-ClasseDocument</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availabilityStatus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urn:oasis:names:tc:ebxml-regrep:StatusType:Approved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TRE_R270-AvailabilityStatus (ANS)</w:t>
            </w:r>
          </w:p>
        </w:tc>
      </w:tr>
    </w:tbl>
    <w:p>
      <w:pPr>
        <w:spacing w:after="80" w:before="80"/>
      </w:pPr>
    </w:p>
    <w:p>
      <w:pPr>
        <w:pStyle w:val="Heading2"/>
        <w:spacing w:after="120" w:before="280"/>
      </w:pPr>
      <w:r>
        <w:rPr>
          <w:rFonts w:ascii="Arial" w:cs="Arial" w:eastAsia="Arial" w:hAnsi="Arial"/>
          <w:b/>
          <w:bCs/>
          <w:color w:val="2E75B6"/>
          <w:sz w:val="26"/>
          <w:szCs w:val="26"/>
        </w:rPr>
        <w:t xml:space="preserve">4.3 Métadonnées complémentaires</w:t>
      </w:r>
    </w:p>
    <w:p>
      <w:pPr>
        <w:spacing w:after="120" w:before="60"/>
      </w:pPr>
      <w:r>
        <w:rPr>
          <w:rFonts w:ascii="Arial" w:cs="Arial" w:eastAsia="Arial" w:hAnsi="Arial"/>
          <w:sz w:val="22"/>
          <w:szCs w:val="22"/>
        </w:rPr>
        <w:t xml:space="preserve">Ces métadonnées sont présentes dans toute XDSDocumentEntry conforme CI-SIS. Elles ne figurent pas dans l'interface du widget de présentation mais sont documentées ici pour exhaustivité architecturale.</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Métadonnée</w:t>
            </w:r>
          </w:p>
        </w:tc>
        <w:tc>
          <w:tcPr>
            <w:tcW w:type="dxa" w:w="3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Équivalent FHIR/MHD</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uniqueId</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Identifiant unique global du document — affecté par le créateur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DocumentReference.masterIdentifier</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entryUUID</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Identifiant de la version de la fiche dans le Registry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DocumentReference.identifier (use=official)</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repositoryUniqueId</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OID du Repository où est stocké le document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Pas d'équivalence directe en FHIR R4</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legalAuthenticator</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Professionnel qui authentifie légalement le document (RPPS)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DocumentReference.authenticator</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authorInstitution</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Structure pour le compte de laquelle le doc est produit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DocumentReference.author (Organization)</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serviceStartTime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Date de début de l'acte clinique couvert par le document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DocumentReference.context.period.start</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serviceStopTime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Date de fin de l'acte clinique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DocumentReference.context.period.end</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eventCodeList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Événements cliniques couverts par le document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DocumentReference.context.event</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contentTypeCode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Type d'activité du LotSoumission (SubmissionSet)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DocumentManifest.type</w:t>
            </w:r>
          </w:p>
        </w:tc>
      </w:tr>
    </w:tbl>
    <w:p>
      <w:pPr>
        <w:spacing w:after="80" w:before="80"/>
      </w:pPr>
    </w:p>
    <w:p>
      <w:pPr>
        <w:pStyle w:val="Heading2"/>
        <w:spacing w:after="120" w:before="280"/>
      </w:pPr>
      <w:r>
        <w:rPr>
          <w:rFonts w:ascii="Arial" w:cs="Arial" w:eastAsia="Arial" w:hAnsi="Arial"/>
          <w:b/>
          <w:bCs/>
          <w:color w:val="2E75B6"/>
          <w:sz w:val="26"/>
          <w:szCs w:val="26"/>
        </w:rPr>
        <w:t xml:space="preserve">4.4 Cas 1 — CR de consultation cardiologie (flux nominal)</w:t>
      </w:r>
    </w:p>
    <w:p>
      <w:pPr>
        <w:pStyle w:val="Heading3"/>
        <w:spacing w:after="80" w:before="200"/>
      </w:pPr>
      <w:r>
        <w:rPr>
          <w:rFonts w:ascii="Arial" w:cs="Arial" w:eastAsia="Arial" w:hAnsi="Arial"/>
          <w:b/>
          <w:bCs/>
          <w:color w:val="404040"/>
          <w:sz w:val="24"/>
          <w:szCs w:val="24"/>
        </w:rPr>
        <w:t xml:space="preserve">DocumentEntry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Métadonnée</w:t>
            </w:r>
          </w:p>
        </w:tc>
        <w:tc>
          <w:tcPr>
            <w:tcW w:type="dxa" w:w="3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Valeur</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JDV ANS / Source</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typeCode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11488-4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LOINC — Consultation note — JDV_J07-XdsTypeCode-CISIS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practiceSettingCode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CARDIO — Cardiologie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1.2.250.1.213.1.1.4.5 (ANS) — TRE_R02-SecteurActivite</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formatCode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urn:ihe:iti:xds-sd:pdf:2008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JDV_J60-FormatCode-DMP — TRE_A11-IheFormatCode</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mimeType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application/pdf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authorPerson</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Dr. Marie LAMBERT — RPPS 10012345678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RPPS — idNat_PS ANS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authorInstitution</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Clinique Sainte-Marie^^^^^&amp;1.2.3.4.5&amp;ISO^^^^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OID établissement (illustratif)</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legalAuthenticator</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10012345678 — Dr. Marie LAMBERT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RPPS — même que authorPerson ici</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creationTime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20260514143000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Format YYYYMMDDHHMMSS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serviceStartTime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20260514140000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Début consultation</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serviceStopTime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20260514143000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Fin consultation</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uniqueId</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2.25.196803150123456.20260514.1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OID illustratif</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entryUUID</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urn:uuid:a1b2c3d4-e5f6-7890-abcd-ef1234567001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UUID v4</w:t>
            </w:r>
          </w:p>
        </w:tc>
      </w:tr>
    </w:tbl>
    <w:p>
      <w:pPr>
        <w:spacing w:after="80" w:before="80"/>
      </w:pPr>
    </w:p>
    <w:p>
      <w:pPr>
        <w:pStyle w:val="Heading3"/>
        <w:spacing w:after="80" w:before="200"/>
      </w:pPr>
      <w:r>
        <w:rPr>
          <w:rFonts w:ascii="Arial" w:cs="Arial" w:eastAsia="Arial" w:hAnsi="Arial"/>
          <w:b/>
          <w:bCs/>
          <w:color w:val="404040"/>
          <w:sz w:val="24"/>
          <w:szCs w:val="24"/>
        </w:rPr>
        <w:t xml:space="preserve">SubmissionSet associé (LotSoumission)</w:t>
      </w:r>
    </w:p>
    <w:p>
      <w:pPr>
        <w:spacing w:after="120" w:before="60"/>
      </w:pPr>
      <w:r>
        <w:rPr>
          <w:rFonts w:ascii="Arial" w:cs="Arial" w:eastAsia="Arial" w:hAnsi="Arial"/>
          <w:sz w:val="22"/>
          <w:szCs w:val="22"/>
        </w:rPr>
        <w:t xml:space="preserve">Le SubmissionSet est l'enveloppe de la transaction ITI-41. Il est construit automatiquement par le connecteur Orbis et regroupe le DocumentEntry et le document binaire.</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Attribut SubmissionSet</w:t>
            </w:r>
          </w:p>
        </w:tc>
        <w:tc>
          <w:tcPr>
            <w:tcW w:type="dxa" w:w="3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Valeur</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Note</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patientId</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196803150123456^^^&amp;1.2.250.1.213.1.4.8&amp;ISO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INS-NIR — identique au DocumentEntry</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sourceId</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1.2.3.4.5.100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OID du système émetteur (Orbis)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submissionTime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20260514143000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Horodatage de la soumission</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contentTypeCode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11488-4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Type d'activité — identique au typeCode</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author</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Dr. Marie LAMBERT — RPPS 10012345678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Professionnel émettant la transaction</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availabilityStatus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urn:oasis:names:tc:ebxml-regrep:StatusType:Approved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TRE_R270-AvailabilityStatus</w:t>
            </w:r>
          </w:p>
        </w:tc>
      </w:tr>
    </w:tbl>
    <w:p>
      <w:pPr>
        <w:spacing w:after="80" w:before="80"/>
      </w:pPr>
    </w:p>
    <w:p>
      <w:pPr>
        <w:pStyle w:val="Heading2"/>
        <w:spacing w:after="120" w:before="280"/>
      </w:pPr>
      <w:r>
        <w:rPr>
          <w:rFonts w:ascii="Arial" w:cs="Arial" w:eastAsia="Arial" w:hAnsi="Arial"/>
          <w:b/>
          <w:bCs/>
          <w:color w:val="2E75B6"/>
          <w:sz w:val="26"/>
          <w:szCs w:val="26"/>
        </w:rPr>
        <w:t xml:space="preserve">4.5 Cas 2 — CR d'échographie cardiaque via DRIMbox (flux imagerie)</w:t>
      </w:r>
    </w:p>
    <w:p>
      <w:pPr>
        <w:pStyle w:val="Heading3"/>
        <w:spacing w:after="80" w:before="200"/>
      </w:pPr>
      <w:r>
        <w:rPr>
          <w:rFonts w:ascii="Arial" w:cs="Arial" w:eastAsia="Arial" w:hAnsi="Arial"/>
          <w:b/>
          <w:bCs/>
          <w:color w:val="404040"/>
          <w:sz w:val="24"/>
          <w:szCs w:val="24"/>
        </w:rPr>
        <w:t xml:space="preserve">Spécificités architecturales de ce flux</w:t>
      </w:r>
    </w:p>
    <w:p>
      <w:pPr>
        <w:spacing w:after="120" w:before="60"/>
      </w:pPr>
      <w:r>
        <w:rPr>
          <w:rFonts w:ascii="Arial" w:cs="Arial" w:eastAsia="Arial" w:hAnsi="Arial"/>
          <w:sz w:val="22"/>
          <w:szCs w:val="22"/>
        </w:rPr>
        <w:t xml:space="preserve">Ce flux se distingue du flux nominal sur trois points :</w:t>
      </w:r>
    </w:p>
    <w:p>
      <w:pPr>
        <w:pStyle w:val="ListParagraph"/>
        <w:numPr>
          <w:ilvl w:val="0"/>
          <w:numId w:val="2"/>
        </w:numPr>
        <w:spacing w:after="40" w:before="40"/>
      </w:pPr>
      <w:r>
        <w:rPr>
          <w:rFonts w:ascii="Arial" w:cs="Arial" w:eastAsia="Arial" w:hAnsi="Arial"/>
          <w:sz w:val="22"/>
          <w:szCs w:val="22"/>
        </w:rPr>
        <w:t xml:space="preserve">La DRIMbox Source (déployée côté Sectra) joue le rôle d'intermédiaire entre le RIS et le DMP — elle construit et envoie la transaction ITI-41</w:t>
      </w:r>
    </w:p>
    <w:p>
      <w:pPr>
        <w:pStyle w:val="ListParagraph"/>
        <w:numPr>
          <w:ilvl w:val="0"/>
          <w:numId w:val="2"/>
        </w:numPr>
        <w:spacing w:after="40" w:before="40"/>
      </w:pPr>
      <w:r>
        <w:rPr>
          <w:rFonts w:ascii="Arial" w:cs="Arial" w:eastAsia="Arial" w:hAnsi="Arial"/>
          <w:sz w:val="22"/>
          <w:szCs w:val="22"/>
        </w:rPr>
        <w:t xml:space="preserve">Le formatCode est urn:ihe:rad:TEXT (IHE Radiology) et non urn:ihe:iti:xds-sd:pdf:2008 — imposé par le cadre DRIM-M</w:t>
      </w:r>
    </w:p>
    <w:p>
      <w:pPr>
        <w:pStyle w:val="ListParagraph"/>
        <w:numPr>
          <w:ilvl w:val="0"/>
          <w:numId w:val="2"/>
        </w:numPr>
        <w:spacing w:after="40" w:before="40"/>
      </w:pPr>
      <w:r>
        <w:rPr>
          <w:rFonts w:ascii="Arial" w:cs="Arial" w:eastAsia="Arial" w:hAnsi="Arial"/>
          <w:sz w:val="22"/>
          <w:szCs w:val="22"/>
        </w:rPr>
        <w:t xml:space="preserve">Le repositoryUniqueId est distinct du DMP Repository : c'est l'OID de la DRIMbox locale</w:t>
      </w:r>
    </w:p>
    <w:p>
      <w:pPr>
        <w:spacing w:after="80" w:before="80"/>
      </w:pPr>
    </w:p>
    <w:p>
      <w:pPr>
        <w:pStyle w:val="Heading3"/>
        <w:spacing w:after="80" w:before="200"/>
      </w:pPr>
      <w:r>
        <w:rPr>
          <w:rFonts w:ascii="Arial" w:cs="Arial" w:eastAsia="Arial" w:hAnsi="Arial"/>
          <w:b/>
          <w:bCs/>
          <w:color w:val="404040"/>
          <w:sz w:val="24"/>
          <w:szCs w:val="24"/>
        </w:rPr>
        <w:t xml:space="preserve">DocumentEntry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Métadonnée</w:t>
            </w:r>
          </w:p>
        </w:tc>
        <w:tc>
          <w:tcPr>
            <w:tcW w:type="dxa" w:w="3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Valeur</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JDV ANS / Note</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typeCode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18748-4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LOINC — Diagnostic imaging study — JDV_J07</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practiceSettingCode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CARDIO — Cardiologie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1.2.250.1.213.1.1.4.5 (ANS)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formatCode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urn:ihe:rad:TEXT</w:t>
            </w:r>
          </w:p>
        </w:tc>
        <w:tc>
          <w:tcPr>
            <w:tcW w:type="dxa" w:w="30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IHE Radiology — spécifique DRIMbox/DRIM-M</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mimeType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application/pdf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CR textuel PDF</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authorPerson</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Dr. Paul RENARD — RPPS 10098765432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Radiologue — RPPS ANS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repositoryUniqueId</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1.2.3.4.5.200 (DRIMbox Sainte-Marie)</w:t>
            </w:r>
          </w:p>
        </w:tc>
        <w:tc>
          <w:tcPr>
            <w:tcW w:type="dxa" w:w="30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OID DRIMbox — différent du DMP Repository</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creationTime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20260514160000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Format YYYYMMDDHHMMSS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uniqueId</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2.25.196803150123456.20260514.2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OID illustratif</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entryUUID</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urn:uuid:a1b2c3d4-e5f6-7890-abcd-ef1234567002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UUID v4</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00000" w:sz="12"/>
              <w:bottom w:val="single" w:color="CCCCCC" w:sz="1"/>
              <w:right w:val="none" w:color="FFFFFF" w:sz="0"/>
            </w:tcBorders>
            <w:shd w:fill="FFF2F2" w:val="clear"/>
            <w:tcMar>
              <w:top w:type="dxa" w:w="100"/>
              <w:left w:type="dxa" w:w="200"/>
              <w:bottom w:type="dxa" w:w="100"/>
              <w:right w:type="dxa" w:w="120"/>
            </w:tcMar>
          </w:tcPr>
          <w:p>
            <w:r>
              <w:rPr>
                <w:rFonts w:ascii="Arial" w:cs="Arial" w:eastAsia="Arial" w:hAnsi="Arial"/>
                <w:b/>
                <w:bCs/>
                <w:color w:val="C00000"/>
                <w:sz w:val="20"/>
                <w:szCs w:val="20"/>
              </w:rPr>
              <w:t xml:space="preserve">Attention : </w:t>
            </w:r>
            <w:r>
              <w:rPr>
                <w:rFonts w:ascii="Arial" w:cs="Arial" w:eastAsia="Arial" w:hAnsi="Arial"/>
                <w:sz w:val="20"/>
                <w:szCs w:val="20"/>
              </w:rPr>
              <w:t xml:space="preserve">Le formatCode urn:ihe:rad:TEXT et le repositoryUniqueId spécifique à la DRIMbox sont des contraintes imposées par le cadre DRIM-M — ce ne sont pas des choix d'architecture locaux. Les documenter explicitement évite des rejets silencieux lors des transactions ITI-41 vers le DMP Registry.</w:t>
            </w:r>
          </w:p>
        </w:tc>
      </w:tr>
    </w:tbl>
    <w:p>
      <w:pPr>
        <w:spacing w:after="80" w:before="80"/>
      </w:pPr>
    </w:p>
    <w:p>
      <w:pPr>
        <w:pStyle w:val="Heading2"/>
        <w:spacing w:after="120" w:before="280"/>
      </w:pPr>
      <w:r>
        <w:rPr>
          <w:rFonts w:ascii="Arial" w:cs="Arial" w:eastAsia="Arial" w:hAnsi="Arial"/>
          <w:b/>
          <w:bCs/>
          <w:color w:val="2E75B6"/>
          <w:sz w:val="26"/>
          <w:szCs w:val="26"/>
        </w:rPr>
        <w:t xml:space="preserve">4.6 Synthèse — Flux F3 et F4</w:t>
      </w:r>
    </w:p>
    <w:p>
      <w:pPr>
        <w:spacing w:after="120" w:before="60"/>
      </w:pPr>
      <w:r>
        <w:rPr>
          <w:rFonts w:ascii="Arial" w:cs="Arial" w:eastAsia="Arial" w:hAnsi="Arial"/>
          <w:sz w:val="22"/>
          <w:szCs w:val="22"/>
        </w:rPr>
        <w:t xml:space="preserve">Les flux F3 (biologie) et F4 (lettre de sortie) suivent le même pattern transactionnel que F1. Seuls le typeCode, l'auteur et le practiceSettingCode diffèrent.</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1800"/>
        <w:gridCol w:w="1626"/>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Flux</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Document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typeCode (LOINC)</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practiceSettingCode</w:t>
            </w:r>
          </w:p>
        </w:tc>
        <w:tc>
          <w:tcPr>
            <w:tcW w:type="dxa" w:w="1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Auteur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F1 (détaillé)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CR consultation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11488-4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CARDIO</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Dr. LAMBERT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F3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Résultats biologie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11502-2</w:t>
            </w:r>
          </w:p>
        </w:tc>
        <w:tc>
          <w:tcPr>
            <w:tcW w:type="dxa" w:w="18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BIO</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Dr. MARTIN</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F4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Lettre de sortie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34105-7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CARDIO</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Dr. LAMBERT</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BA7517" w:sz="12"/>
              <w:bottom w:val="single" w:color="CCCCCC" w:sz="1"/>
              <w:right w:val="none" w:color="FFFFFF" w:sz="0"/>
            </w:tcBorders>
            <w:shd w:fill="FFFBF0" w:val="clear"/>
            <w:tcMar>
              <w:top w:type="dxa" w:w="100"/>
              <w:left w:type="dxa" w:w="200"/>
              <w:bottom w:type="dxa" w:w="100"/>
              <w:right w:type="dxa" w:w="120"/>
            </w:tcMar>
          </w:tcPr>
          <w:p>
            <w:r>
              <w:rPr>
                <w:rFonts w:ascii="Arial" w:cs="Arial" w:eastAsia="Arial" w:hAnsi="Arial"/>
                <w:b/>
                <w:bCs/>
                <w:color w:val="BA7517"/>
                <w:sz w:val="20"/>
                <w:szCs w:val="20"/>
              </w:rPr>
              <w:t xml:space="preserve">Note portfolio : </w:t>
            </w:r>
            <w:r>
              <w:rPr>
                <w:rFonts w:ascii="Arial" w:cs="Arial" w:eastAsia="Arial" w:hAnsi="Arial"/>
                <w:sz w:val="20"/>
                <w:szCs w:val="20"/>
              </w:rPr>
              <w:t xml:space="preserve">Biologie en production : le CI-SIS impose un CR de biologie au format structuré CDA R2 N3, accompagné d'une représentation PDF lisible. Dans ce portfolio, le flux F3 est illustré avec un document PDF/A — simplification pédagogique explicitement documentée.</w:t>
            </w:r>
          </w:p>
        </w:tc>
      </w:tr>
    </w:tbl>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5. Sécurité, identité et exigences non fonctionnelles</w:t>
      </w:r>
    </w:p>
    <w:p>
      <w:pPr>
        <w:pStyle w:val="Heading2"/>
        <w:spacing w:after="120" w:before="280"/>
      </w:pPr>
      <w:r>
        <w:rPr>
          <w:rFonts w:ascii="Arial" w:cs="Arial" w:eastAsia="Arial" w:hAnsi="Arial"/>
          <w:b/>
          <w:bCs/>
          <w:color w:val="2E75B6"/>
          <w:sz w:val="26"/>
          <w:szCs w:val="26"/>
        </w:rPr>
        <w:t xml:space="preserve">5.1 Identité patient — prérequis à la publication</w:t>
      </w:r>
    </w:p>
    <w:p>
      <w:pPr>
        <w:spacing w:after="120" w:before="60"/>
      </w:pPr>
      <w:r>
        <w:rPr>
          <w:rFonts w:ascii="Arial" w:cs="Arial" w:eastAsia="Arial" w:hAnsi="Arial"/>
          <w:sz w:val="22"/>
          <w:szCs w:val="22"/>
        </w:rPr>
        <w:t xml:space="preserve">L'INS qualifiée (Identité Nationale de Santé) est un prérequis obligatoire à toute publication XDS.b vers le DMP. Sans INS-NIR qualifiée, la transaction ITI-41 est rejetée par le DMP Registry.</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2E75B6" w:sz="12"/>
              <w:bottom w:val="single" w:color="CCCCCC" w:sz="1"/>
              <w:right w:val="none" w:color="FFFFFF" w:sz="0"/>
            </w:tcBorders>
            <w:shd w:fill="D5E8F0" w:val="clear"/>
            <w:tcMar>
              <w:top w:type="dxa" w:w="100"/>
              <w:left w:type="dxa" w:w="200"/>
              <w:bottom w:type="dxa" w:w="100"/>
              <w:right w:type="dxa" w:w="120"/>
            </w:tcMar>
          </w:tcPr>
          <w:p>
            <w:r>
              <w:rPr>
                <w:rFonts w:ascii="Arial" w:cs="Arial" w:eastAsia="Arial" w:hAnsi="Arial"/>
                <w:b/>
                <w:bCs/>
                <w:color w:val="2E75B6"/>
                <w:sz w:val="20"/>
                <w:szCs w:val="20"/>
              </w:rPr>
              <w:t xml:space="preserve">Lien Projet 2 : </w:t>
            </w:r>
            <w:r>
              <w:rPr>
                <w:rFonts w:ascii="Arial" w:cs="Arial" w:eastAsia="Arial" w:hAnsi="Arial"/>
                <w:sz w:val="20"/>
                <w:szCs w:val="20"/>
              </w:rPr>
              <w:t xml:space="preserve">Le profil SteMariePatientINS garantit que l'INS-NIR qualifiée est disponible sur chaque ressource Patient FHIR avant publication. C'est le lien direct entre le Projet 2 (profil) et ce Projet 4 (partage documentaire).</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385"/>
        <w:gridCol w:w="3385"/>
      </w:tblGrid>
      <w:tr>
        <w:tc>
          <w:tcPr>
            <w:tcW w:type="dxa" w:w="225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Statut INS</w:t>
            </w:r>
          </w:p>
        </w:tc>
        <w:tc>
          <w:tcPr>
            <w:tcW w:type="dxa" w:w="338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Valeur CI-SIS</w:t>
            </w:r>
          </w:p>
        </w:tc>
        <w:tc>
          <w:tcPr>
            <w:tcW w:type="dxa" w:w="338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Conséquence pour XDS</w:t>
            </w:r>
          </w:p>
        </w:tc>
      </w:tr>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Qualifiée (VALI)</w:t>
            </w:r>
          </w:p>
        </w:tc>
        <w:tc>
          <w:tcPr>
            <w:tcW w:type="dxa" w:w="33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Récupérée via téléservice INSi</w:t>
            </w:r>
          </w:p>
        </w:tc>
        <w:tc>
          <w:tcPr>
            <w:tcW w:type="dxa" w:w="33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Publication DMP autorisée — patientId = INS-NIR</w:t>
            </w:r>
          </w:p>
        </w:tc>
      </w:tr>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Récupérée (RECUP)</w:t>
            </w:r>
          </w:p>
        </w:tc>
        <w:tc>
          <w:tcPr>
            <w:tcW w:type="dxa" w:w="33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Récupérée sans vérification INSi</w:t>
            </w:r>
          </w:p>
        </w:tc>
        <w:tc>
          <w:tcPr>
            <w:tcW w:type="dxa" w:w="33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Publication avec réserve — à fiabiliser</w:t>
            </w:r>
          </w:p>
        </w:tc>
      </w:tr>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Fictive (FICT)</w:t>
            </w:r>
          </w:p>
        </w:tc>
        <w:tc>
          <w:tcPr>
            <w:tcW w:type="dxa" w:w="33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Données de test / simulées</w:t>
            </w:r>
          </w:p>
        </w:tc>
        <w:tc>
          <w:tcPr>
            <w:tcW w:type="dxa" w:w="3385"/>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Publication DMP refusée en production</w:t>
            </w:r>
          </w:p>
        </w:tc>
      </w:tr>
    </w:tbl>
    <w:p>
      <w:pPr>
        <w:spacing w:after="80" w:before="80"/>
      </w:pPr>
    </w:p>
    <w:p>
      <w:pPr>
        <w:pStyle w:val="Heading2"/>
        <w:spacing w:after="120" w:before="280"/>
      </w:pPr>
      <w:r>
        <w:rPr>
          <w:rFonts w:ascii="Arial" w:cs="Arial" w:eastAsia="Arial" w:hAnsi="Arial"/>
          <w:b/>
          <w:bCs/>
          <w:color w:val="2E75B6"/>
          <w:sz w:val="26"/>
          <w:szCs w:val="26"/>
        </w:rPr>
        <w:t xml:space="preserve">5.2 Sécurité des échanges</w:t>
      </w:r>
    </w:p>
    <w:p>
      <w:pPr>
        <w:pStyle w:val="ListParagraph"/>
        <w:numPr>
          <w:ilvl w:val="0"/>
          <w:numId w:val="2"/>
        </w:numPr>
        <w:spacing w:after="40" w:before="40"/>
      </w:pPr>
      <w:r>
        <w:rPr>
          <w:rFonts w:ascii="Arial" w:cs="Arial" w:eastAsia="Arial" w:hAnsi="Arial"/>
          <w:sz w:val="22"/>
          <w:szCs w:val="22"/>
        </w:rPr>
        <w:t xml:space="preserve">Authentification des systèmes sources via VIHF (Vecteur d'Identification et d'Habilitation Formel — certificat CPS ou logiciel)</w:t>
      </w:r>
    </w:p>
    <w:p>
      <w:pPr>
        <w:pStyle w:val="ListParagraph"/>
        <w:numPr>
          <w:ilvl w:val="0"/>
          <w:numId w:val="2"/>
        </w:numPr>
        <w:spacing w:after="40" w:before="40"/>
      </w:pPr>
      <w:r>
        <w:rPr>
          <w:rFonts w:ascii="Arial" w:cs="Arial" w:eastAsia="Arial" w:hAnsi="Arial"/>
          <w:sz w:val="22"/>
          <w:szCs w:val="22"/>
        </w:rPr>
        <w:t xml:space="preserve">Chiffrement de toutes les connexions SOAP/HTTPS en TLS 1.2 minimum</w:t>
      </w:r>
    </w:p>
    <w:p>
      <w:pPr>
        <w:pStyle w:val="ListParagraph"/>
        <w:numPr>
          <w:ilvl w:val="0"/>
          <w:numId w:val="2"/>
        </w:numPr>
        <w:spacing w:after="40" w:before="40"/>
      </w:pPr>
      <w:r>
        <w:rPr>
          <w:rFonts w:ascii="Arial" w:cs="Arial" w:eastAsia="Arial" w:hAnsi="Arial"/>
          <w:sz w:val="22"/>
          <w:szCs w:val="22"/>
        </w:rPr>
        <w:t xml:space="preserve">Habilitations DMP : gestion des droits d'accès par profil professionnel (médecin traitant, spécialiste, urgentiste)</w:t>
      </w:r>
    </w:p>
    <w:p>
      <w:pPr>
        <w:pStyle w:val="ListParagraph"/>
        <w:numPr>
          <w:ilvl w:val="0"/>
          <w:numId w:val="2"/>
        </w:numPr>
        <w:spacing w:after="40" w:before="40"/>
      </w:pPr>
      <w:r>
        <w:rPr>
          <w:rFonts w:ascii="Arial" w:cs="Arial" w:eastAsia="Arial" w:hAnsi="Arial"/>
          <w:sz w:val="22"/>
          <w:szCs w:val="22"/>
        </w:rPr>
        <w:t xml:space="preserve">Masquage patient : le patient peut masquer des documents — le DMP Registry gère confidentialityCode et les règles de masquage</w:t>
      </w:r>
    </w:p>
    <w:p>
      <w:pPr>
        <w:pStyle w:val="ListParagraph"/>
        <w:numPr>
          <w:ilvl w:val="0"/>
          <w:numId w:val="2"/>
        </w:numPr>
        <w:spacing w:after="40" w:before="40"/>
      </w:pPr>
      <w:r>
        <w:rPr>
          <w:rFonts w:ascii="Arial" w:cs="Arial" w:eastAsia="Arial" w:hAnsi="Arial"/>
          <w:sz w:val="22"/>
          <w:szCs w:val="22"/>
        </w:rPr>
        <w:t xml:space="preserve">Traçabilité obligatoire de tous les accès DMP — conformité HDS (Hébergement de Données de Santé) et RGPD</w:t>
      </w:r>
    </w:p>
    <w:p>
      <w:pPr>
        <w:spacing w:after="80" w:before="80"/>
      </w:pPr>
    </w:p>
    <w:p>
      <w:pPr>
        <w:pStyle w:val="Heading2"/>
        <w:spacing w:after="120" w:before="280"/>
      </w:pPr>
      <w:r>
        <w:rPr>
          <w:rFonts w:ascii="Arial" w:cs="Arial" w:eastAsia="Arial" w:hAnsi="Arial"/>
          <w:b/>
          <w:bCs/>
          <w:color w:val="2E75B6"/>
          <w:sz w:val="26"/>
          <w:szCs w:val="26"/>
        </w:rPr>
        <w:t xml:space="preserve">5.3 Exigences non fonctionnelles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Exigence</w:t>
            </w:r>
          </w:p>
        </w:tc>
        <w:tc>
          <w:tcPr>
            <w:tcW w:type="dxa" w:w="6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Décision proposée</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Disponibilité</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File d'attente Mirth Connect en cas d'indisponibilité DMP — retry automatique</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Sécurité</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TLS 1.2+ · certificats VIHF · habilitations par profil professionnel</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Identité patient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INS qualifiée obligatoire avant publication — vérification INSi en amont</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Supervision</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Journalisation structurée (JSON) des transactions ITI-41/43 — dashboard erreurs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Rejeu</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Retry automatique sur erreur technique · file d'erreur pour erreurs fonctionnelles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Conformité</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Tests Gazelle ANS (EVSClient) avant mise en production · veille CI-SIS ANS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Confidentialité</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Gestion opposition patient · masquage documentaire · habilitations DMP</w:t>
            </w:r>
          </w:p>
        </w:tc>
      </w:tr>
    </w:tbl>
    <w:p>
      <w:pPr>
        <w:spacing w:after="80" w:before="80"/>
      </w:pPr>
    </w:p>
    <w:p>
      <w:pPr>
        <w:pStyle w:val="Heading2"/>
        <w:spacing w:after="120" w:before="280"/>
      </w:pPr>
      <w:r>
        <w:rPr>
          <w:rFonts w:ascii="Arial" w:cs="Arial" w:eastAsia="Arial" w:hAnsi="Arial"/>
          <w:b/>
          <w:bCs/>
          <w:color w:val="2E75B6"/>
          <w:sz w:val="26"/>
          <w:szCs w:val="26"/>
        </w:rPr>
        <w:t xml:space="preserve">5.4 Gestion des erreurs et stratégie de rejeu</w:t>
      </w:r>
    </w:p>
    <w:p>
      <w:pPr>
        <w:spacing w:after="120" w:before="60"/>
      </w:pPr>
      <w:r>
        <w:rPr>
          <w:rFonts w:ascii="Arial" w:cs="Arial" w:eastAsia="Arial" w:hAnsi="Arial"/>
          <w:sz w:val="22"/>
          <w:szCs w:val="22"/>
        </w:rPr>
        <w:t xml:space="preserve">La gestion des erreurs XDS.b distingue deux catégories qui n'ont pas le même traitement :</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000"/>
        <w:gridCol w:w="2726"/>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Type d'erreur</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Cas concrets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Réponse DMP</w:t>
            </w:r>
          </w:p>
        </w:tc>
        <w:tc>
          <w:tcPr>
            <w:tcW w:type="dxa" w:w="27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Action Mirth</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Erreur fonctionnelle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INS absente ou non qualifiée · code JDV invalide · document déjà existant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RegistryError — Failure</w:t>
            </w:r>
          </w:p>
        </w:tc>
        <w:tc>
          <w:tcPr>
            <w:tcW w:type="dxa" w:w="2726"/>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File d'erreur · correction métier requise avant rejeu</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Erreur technique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DMP indisponible · timeout réseau · erreur TLS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Pas de réponse ou timeout</w:t>
            </w:r>
          </w:p>
        </w:tc>
        <w:tc>
          <w:tcPr>
            <w:tcW w:type="dxa" w:w="2726"/>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Retry automatique · stratégie exponentielle · alerte si &gt; 3 tentatives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Succès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Transaction acceptée par le Registry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RegistryResponse · status=Success</w:t>
            </w:r>
          </w:p>
        </w:tc>
        <w:tc>
          <w:tcPr>
            <w:tcW w:type="dxa" w:w="2726"/>
            <w:tcBorders>
              <w:top w:val="single" w:color="CCCCCC" w:sz="1"/>
              <w:left w:val="single" w:color="CCCCCC" w:sz="1"/>
              <w:bottom w:val="single" w:color="CCCCCC" w:sz="1"/>
              <w:right w:val="single" w:color="CCCCCC" w:sz="1"/>
            </w:tcBorders>
            <w:shd w:fill="F0FF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Log de traçabilité · acquittement</w:t>
            </w:r>
          </w:p>
        </w:tc>
      </w:tr>
    </w:tbl>
    <w:p>
      <w:pPr>
        <w:spacing w:after="80" w:before="80"/>
      </w:pPr>
    </w:p>
    <w:p>
      <w:pPr>
        <w:spacing w:after="120" w:before="60"/>
      </w:pPr>
      <w:r>
        <w:rPr>
          <w:rFonts w:ascii="Arial" w:cs="Arial" w:eastAsia="Arial" w:hAnsi="Arial"/>
          <w:sz w:val="22"/>
          <w:szCs w:val="22"/>
        </w:rPr>
        <w:t xml:space="preserve">Structure de journalisation recommandée pour chaque transaction ITI-41 :</w:t>
      </w:r>
    </w:p>
    <w:p>
      <w:pPr>
        <w:pStyle w:val="ListParagraph"/>
        <w:numPr>
          <w:ilvl w:val="0"/>
          <w:numId w:val="2"/>
        </w:numPr>
        <w:spacing w:after="40" w:before="40"/>
      </w:pPr>
      <w:r>
        <w:rPr>
          <w:rFonts w:ascii="Arial" w:cs="Arial" w:eastAsia="Arial" w:hAnsi="Arial"/>
          <w:sz w:val="22"/>
          <w:szCs w:val="22"/>
        </w:rPr>
        <w:t xml:space="preserve">timestamp — horodatage ISO 8601</w:t>
      </w:r>
    </w:p>
    <w:p>
      <w:pPr>
        <w:pStyle w:val="ListParagraph"/>
        <w:numPr>
          <w:ilvl w:val="0"/>
          <w:numId w:val="2"/>
        </w:numPr>
        <w:spacing w:after="40" w:before="40"/>
      </w:pPr>
      <w:r>
        <w:rPr>
          <w:rFonts w:ascii="Arial" w:cs="Arial" w:eastAsia="Arial" w:hAnsi="Arial"/>
          <w:sz w:val="22"/>
          <w:szCs w:val="22"/>
        </w:rPr>
        <w:t xml:space="preserve">transactionType — ITI-41 / ITI-43 / ITI-18</w:t>
      </w:r>
    </w:p>
    <w:p>
      <w:pPr>
        <w:pStyle w:val="ListParagraph"/>
        <w:numPr>
          <w:ilvl w:val="0"/>
          <w:numId w:val="2"/>
        </w:numPr>
        <w:spacing w:after="40" w:before="40"/>
      </w:pPr>
      <w:r>
        <w:rPr>
          <w:rFonts w:ascii="Arial" w:cs="Arial" w:eastAsia="Arial" w:hAnsi="Arial"/>
          <w:sz w:val="22"/>
          <w:szCs w:val="22"/>
        </w:rPr>
        <w:t xml:space="preserve">patientId — INS-NIR</w:t>
      </w:r>
    </w:p>
    <w:p>
      <w:pPr>
        <w:pStyle w:val="ListParagraph"/>
        <w:numPr>
          <w:ilvl w:val="0"/>
          <w:numId w:val="2"/>
        </w:numPr>
        <w:spacing w:after="40" w:before="40"/>
      </w:pPr>
      <w:r>
        <w:rPr>
          <w:rFonts w:ascii="Arial" w:cs="Arial" w:eastAsia="Arial" w:hAnsi="Arial"/>
          <w:sz w:val="22"/>
          <w:szCs w:val="22"/>
        </w:rPr>
        <w:t xml:space="preserve">documentUniqueId — identifiant du document</w:t>
      </w:r>
    </w:p>
    <w:p>
      <w:pPr>
        <w:pStyle w:val="ListParagraph"/>
        <w:numPr>
          <w:ilvl w:val="0"/>
          <w:numId w:val="2"/>
        </w:numPr>
        <w:spacing w:after="40" w:before="40"/>
      </w:pPr>
      <w:r>
        <w:rPr>
          <w:rFonts w:ascii="Arial" w:cs="Arial" w:eastAsia="Arial" w:hAnsi="Arial"/>
          <w:sz w:val="22"/>
          <w:szCs w:val="22"/>
        </w:rPr>
        <w:t xml:space="preserve">sourceSystem — Orbis / Sectra / Sysmex</w:t>
      </w:r>
    </w:p>
    <w:p>
      <w:pPr>
        <w:pStyle w:val="ListParagraph"/>
        <w:numPr>
          <w:ilvl w:val="0"/>
          <w:numId w:val="2"/>
        </w:numPr>
        <w:spacing w:after="40" w:before="40"/>
      </w:pPr>
      <w:r>
        <w:rPr>
          <w:rFonts w:ascii="Arial" w:cs="Arial" w:eastAsia="Arial" w:hAnsi="Arial"/>
          <w:sz w:val="22"/>
          <w:szCs w:val="22"/>
        </w:rPr>
        <w:t xml:space="preserve">status — Success / Failure</w:t>
      </w:r>
    </w:p>
    <w:p>
      <w:pPr>
        <w:pStyle w:val="ListParagraph"/>
        <w:numPr>
          <w:ilvl w:val="0"/>
          <w:numId w:val="2"/>
        </w:numPr>
        <w:spacing w:after="40" w:before="40"/>
      </w:pPr>
      <w:r>
        <w:rPr>
          <w:rFonts w:ascii="Arial" w:cs="Arial" w:eastAsia="Arial" w:hAnsi="Arial"/>
          <w:sz w:val="22"/>
          <w:szCs w:val="22"/>
        </w:rPr>
        <w:t xml:space="preserve">errorCode + errorMessage — en cas d'échec</w:t>
      </w:r>
    </w:p>
    <w:p>
      <w:pPr>
        <w:pStyle w:val="ListParagraph"/>
        <w:numPr>
          <w:ilvl w:val="0"/>
          <w:numId w:val="2"/>
        </w:numPr>
        <w:spacing w:after="40" w:before="40"/>
      </w:pPr>
      <w:r>
        <w:rPr>
          <w:rFonts w:ascii="Arial" w:cs="Arial" w:eastAsia="Arial" w:hAnsi="Arial"/>
          <w:sz w:val="22"/>
          <w:szCs w:val="22"/>
        </w:rPr>
        <w:t xml:space="preserve">retryCount — nombre de tentatives</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0F6E56" w:sz="12"/>
              <w:bottom w:val="single" w:color="CCCCCC" w:sz="1"/>
              <w:right w:val="none" w:color="FFFFFF" w:sz="0"/>
            </w:tcBorders>
            <w:shd w:fill="F0FFF8" w:val="clear"/>
            <w:tcMar>
              <w:top w:type="dxa" w:w="100"/>
              <w:left w:type="dxa" w:w="200"/>
              <w:bottom w:type="dxa" w:w="100"/>
              <w:right w:type="dxa" w:w="120"/>
            </w:tcMar>
          </w:tcPr>
          <w:p>
            <w:r>
              <w:rPr>
                <w:rFonts w:ascii="Arial" w:cs="Arial" w:eastAsia="Arial" w:hAnsi="Arial"/>
                <w:b/>
                <w:bCs/>
                <w:color w:val="0F6E56"/>
                <w:sz w:val="20"/>
                <w:szCs w:val="20"/>
              </w:rPr>
              <w:t xml:space="preserve">Point clé : </w:t>
            </w:r>
            <w:r>
              <w:rPr>
                <w:rFonts w:ascii="Arial" w:cs="Arial" w:eastAsia="Arial" w:hAnsi="Arial"/>
                <w:sz w:val="20"/>
                <w:szCs w:val="20"/>
              </w:rPr>
              <w:t xml:space="preserve">Validation CI-SIS : avant mise en production, toutes les transactions ITI-41 doivent être validées sur la plateforme Gazelle ANS (gazelle.esante.gouv.fr) via l'outil EVSClient. Gazelle vérifie la conformité ebXML, les métadonnées XDS et les JDV ANS.</w:t>
            </w:r>
          </w:p>
        </w:tc>
      </w:tr>
    </w:tbl>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6. Analyse critique et décisions d'architecture</w:t>
      </w:r>
    </w:p>
    <w:p>
      <w:pPr>
        <w:pStyle w:val="Heading2"/>
        <w:spacing w:after="120" w:before="280"/>
      </w:pPr>
      <w:r>
        <w:rPr>
          <w:rFonts w:ascii="Arial" w:cs="Arial" w:eastAsia="Arial" w:hAnsi="Arial"/>
          <w:b/>
          <w:bCs/>
          <w:color w:val="2E75B6"/>
          <w:sz w:val="26"/>
          <w:szCs w:val="26"/>
        </w:rPr>
        <w:t xml:space="preserve">6.1 Avantages de XDS.b dans ce contexte</w:t>
      </w:r>
    </w:p>
    <w:p>
      <w:pPr>
        <w:pStyle w:val="Heading3"/>
        <w:spacing w:after="80" w:before="200"/>
      </w:pPr>
      <w:r>
        <w:rPr>
          <w:rFonts w:ascii="Arial" w:cs="Arial" w:eastAsia="Arial" w:hAnsi="Arial"/>
          <w:b/>
          <w:bCs/>
          <w:color w:val="404040"/>
          <w:sz w:val="24"/>
          <w:szCs w:val="24"/>
        </w:rPr>
        <w:t xml:space="preserve">Interopérabilité multi-éditeurs sans couplage direct</w:t>
      </w:r>
    </w:p>
    <w:p>
      <w:pPr>
        <w:spacing w:after="120" w:before="60"/>
      </w:pPr>
      <w:r>
        <w:rPr>
          <w:rFonts w:ascii="Arial" w:cs="Arial" w:eastAsia="Arial" w:hAnsi="Arial"/>
          <w:sz w:val="22"/>
          <w:szCs w:val="22"/>
        </w:rPr>
        <w:t xml:space="preserve">La Clinique Sainte-Marie fait coexister Dedalus, Sectra et Sysmex — trois éditeurs sans API commune. XDS.b permet à chacun de publier vers un même Registry DMP sans interface point-à-point entre eux. Sans ce standard, 3 systèmes sources nécessiteraient potentiellement 6 interfaces bilatérales.</w:t>
      </w:r>
    </w:p>
    <w:p>
      <w:pPr>
        <w:spacing w:after="80" w:before="80"/>
      </w:pPr>
    </w:p>
    <w:p>
      <w:pPr>
        <w:pStyle w:val="Heading3"/>
        <w:spacing w:after="80" w:before="200"/>
      </w:pPr>
      <w:r>
        <w:rPr>
          <w:rFonts w:ascii="Arial" w:cs="Arial" w:eastAsia="Arial" w:hAnsi="Arial"/>
          <w:b/>
          <w:bCs/>
          <w:color w:val="404040"/>
          <w:sz w:val="24"/>
          <w:szCs w:val="24"/>
        </w:rPr>
        <w:t xml:space="preserve">Séparation index / contenu</w:t>
      </w:r>
    </w:p>
    <w:p>
      <w:pPr>
        <w:spacing w:after="120" w:before="60"/>
      </w:pPr>
      <w:r>
        <w:rPr>
          <w:rFonts w:ascii="Arial" w:cs="Arial" w:eastAsia="Arial" w:hAnsi="Arial"/>
          <w:sz w:val="22"/>
          <w:szCs w:val="22"/>
        </w:rPr>
        <w:t xml:space="preserve">Le médecin libéral (flux F5) interroge d'abord le Registry via ITI-18 — il obtient la liste des documents sans télécharger aucun fichier. En cardiologie où les CR d'imagerie peuvent être volumineux, cette séparation évite des transferts inutiles.</w:t>
      </w:r>
    </w:p>
    <w:p>
      <w:pPr>
        <w:spacing w:after="80" w:before="80"/>
      </w:pPr>
    </w:p>
    <w:p>
      <w:pPr>
        <w:pStyle w:val="Heading3"/>
        <w:spacing w:after="80" w:before="200"/>
      </w:pPr>
      <w:r>
        <w:rPr>
          <w:rFonts w:ascii="Arial" w:cs="Arial" w:eastAsia="Arial" w:hAnsi="Arial"/>
          <w:b/>
          <w:bCs/>
          <w:color w:val="404040"/>
          <w:sz w:val="24"/>
          <w:szCs w:val="24"/>
        </w:rPr>
        <w:t xml:space="preserve">Traçabilité native conforme HDS</w:t>
      </w:r>
    </w:p>
    <w:p>
      <w:pPr>
        <w:spacing w:after="120" w:before="60"/>
      </w:pPr>
      <w:r>
        <w:rPr>
          <w:rFonts w:ascii="Arial" w:cs="Arial" w:eastAsia="Arial" w:hAnsi="Arial"/>
          <w:sz w:val="22"/>
          <w:szCs w:val="22"/>
        </w:rPr>
        <w:t xml:space="preserve">Chaque DocumentEntry porte l'identité de l'auteur (RPPS), la date de création, le statut (Approved) et l'OID du Repository source. Pour la Clinique Sainte-Marie soumise aux exigences HDS et RGPD, cette traçabilité est un atout natif.</w:t>
      </w:r>
    </w:p>
    <w:p>
      <w:pPr>
        <w:spacing w:after="80" w:before="80"/>
      </w:pPr>
    </w:p>
    <w:p>
      <w:pPr>
        <w:pStyle w:val="Heading2"/>
        <w:spacing w:after="120" w:before="280"/>
      </w:pPr>
      <w:r>
        <w:rPr>
          <w:rFonts w:ascii="Arial" w:cs="Arial" w:eastAsia="Arial" w:hAnsi="Arial"/>
          <w:b/>
          <w:bCs/>
          <w:color w:val="2E75B6"/>
          <w:sz w:val="26"/>
          <w:szCs w:val="26"/>
        </w:rPr>
        <w:t xml:space="preserve">6.2 Limites identifiées</w:t>
      </w:r>
    </w:p>
    <w:p>
      <w:pPr>
        <w:pStyle w:val="Heading3"/>
        <w:spacing w:after="80" w:before="200"/>
      </w:pPr>
      <w:r>
        <w:rPr>
          <w:rFonts w:ascii="Arial" w:cs="Arial" w:eastAsia="Arial" w:hAnsi="Arial"/>
          <w:b/>
          <w:bCs/>
          <w:color w:val="404040"/>
          <w:sz w:val="24"/>
          <w:szCs w:val="24"/>
        </w:rPr>
        <w:t xml:space="preserve">Complexité d'implémentation</w:t>
      </w:r>
    </w:p>
    <w:p>
      <w:pPr>
        <w:spacing w:after="120" w:before="60"/>
      </w:pPr>
      <w:r>
        <w:rPr>
          <w:rFonts w:ascii="Arial" w:cs="Arial" w:eastAsia="Arial" w:hAnsi="Arial"/>
          <w:sz w:val="22"/>
          <w:szCs w:val="22"/>
        </w:rPr>
        <w:t xml:space="preserve">SOAP/ebXML, gestion des certificats VIHF, paramétrage des JDV dans chaque connecteur éditeur — la mise en oeuvre XDS.b représente un investissement significatif. En pratique pour Sainte-Marie, ce travail est externalisé aux éditeurs via des modules DMP préconfigurés. L'architecte paramètre des connecteurs, il n'implémente pas XDS.b from scratch.</w:t>
      </w:r>
    </w:p>
    <w:p>
      <w:pPr>
        <w:spacing w:after="80" w:before="80"/>
      </w:pPr>
    </w:p>
    <w:p>
      <w:pPr>
        <w:pStyle w:val="Heading3"/>
        <w:spacing w:after="80" w:before="200"/>
      </w:pPr>
      <w:r>
        <w:rPr>
          <w:rFonts w:ascii="Arial" w:cs="Arial" w:eastAsia="Arial" w:hAnsi="Arial"/>
          <w:b/>
          <w:bCs/>
          <w:color w:val="404040"/>
          <w:sz w:val="24"/>
          <w:szCs w:val="24"/>
        </w:rPr>
        <w:t xml:space="preserve">Dépendance à la disponibilité du DMP</w:t>
      </w:r>
    </w:p>
    <w:p>
      <w:pPr>
        <w:spacing w:after="120" w:before="60"/>
      </w:pPr>
      <w:r>
        <w:rPr>
          <w:rFonts w:ascii="Arial" w:cs="Arial" w:eastAsia="Arial" w:hAnsi="Arial"/>
          <w:sz w:val="22"/>
          <w:szCs w:val="22"/>
        </w:rPr>
        <w:t xml:space="preserve">Les flux F1 à F4 sont bloqués si le DMP Registry (Cnam) est indisponible. Ce risque est mitigé par la file d'attente Mirth Connect — les messages sont conservés et republié à la reconnexion. C'est un pattern de résilience documenté en section 5.4.</w:t>
      </w:r>
    </w:p>
    <w:p>
      <w:pPr>
        <w:spacing w:after="80" w:before="80"/>
      </w:pPr>
    </w:p>
    <w:p>
      <w:pPr>
        <w:pStyle w:val="Heading3"/>
        <w:spacing w:after="80" w:before="200"/>
      </w:pPr>
      <w:r>
        <w:rPr>
          <w:rFonts w:ascii="Arial" w:cs="Arial" w:eastAsia="Arial" w:hAnsi="Arial"/>
          <w:b/>
          <w:bCs/>
          <w:color w:val="404040"/>
          <w:sz w:val="24"/>
          <w:szCs w:val="24"/>
        </w:rPr>
        <w:t xml:space="preserve">Protocole vieillissant face aux API modernes</w:t>
      </w:r>
    </w:p>
    <w:p>
      <w:pPr>
        <w:spacing w:after="120" w:before="60"/>
      </w:pPr>
      <w:r>
        <w:rPr>
          <w:rFonts w:ascii="Arial" w:cs="Arial" w:eastAsia="Arial" w:hAnsi="Arial"/>
          <w:sz w:val="22"/>
          <w:szCs w:val="22"/>
        </w:rPr>
        <w:t xml:space="preserve">SOAP/ebXML date des années 2000. Le monde du développement est passé aux API REST et JSON. XDS.b paraît complexe comparé à une API FHIR moderne — c'est précisément ce qui motive la trajectoire MHD documentée en section 6.3.</w:t>
      </w:r>
    </w:p>
    <w:p>
      <w:pPr>
        <w:spacing w:after="80" w:before="80"/>
      </w:pPr>
    </w:p>
    <w:p>
      <w:pPr>
        <w:pStyle w:val="Heading3"/>
        <w:spacing w:after="80" w:before="200"/>
      </w:pPr>
      <w:r>
        <w:rPr>
          <w:rFonts w:ascii="Arial" w:cs="Arial" w:eastAsia="Arial" w:hAnsi="Arial"/>
          <w:b/>
          <w:bCs/>
          <w:color w:val="404040"/>
          <w:sz w:val="24"/>
          <w:szCs w:val="24"/>
        </w:rPr>
        <w:t xml:space="preserve">Biologie et CDA R2 N3</w:t>
      </w:r>
    </w:p>
    <w:p>
      <w:pPr>
        <w:spacing w:after="120" w:before="60"/>
      </w:pPr>
      <w:r>
        <w:rPr>
          <w:rFonts w:ascii="Arial" w:cs="Arial" w:eastAsia="Arial" w:hAnsi="Arial"/>
          <w:sz w:val="22"/>
          <w:szCs w:val="22"/>
        </w:rPr>
        <w:t xml:space="preserve">Le flux F3 (biologie) est illustré avec un document PDF/A dans ce portfolio. En production, le CI-SIS impose un CR de biologie au format structuré CDA R2 N3 avec représentation PDF lisible. Ce point est documenté comme hypothèse en section 1.3.</w:t>
      </w:r>
    </w:p>
    <w:p>
      <w:pPr>
        <w:spacing w:after="80" w:before="80"/>
      </w:pPr>
    </w:p>
    <w:p>
      <w:pPr>
        <w:pStyle w:val="Heading2"/>
        <w:spacing w:after="120" w:before="280"/>
      </w:pPr>
      <w:r>
        <w:rPr>
          <w:rFonts w:ascii="Arial" w:cs="Arial" w:eastAsia="Arial" w:hAnsi="Arial"/>
          <w:b/>
          <w:bCs/>
          <w:color w:val="2E75B6"/>
          <w:sz w:val="26"/>
          <w:szCs w:val="26"/>
        </w:rPr>
        <w:t xml:space="preserve">6.3 Articulation avec FHIR/MHD — trajectoire cible</w:t>
      </w:r>
    </w:p>
    <w:p>
      <w:pPr>
        <w:spacing w:after="120" w:before="60"/>
      </w:pPr>
      <w:r>
        <w:rPr>
          <w:rFonts w:ascii="Arial" w:cs="Arial" w:eastAsia="Arial" w:hAnsi="Arial"/>
          <w:sz w:val="22"/>
          <w:szCs w:val="22"/>
        </w:rPr>
        <w:t xml:space="preserve">XDS.b et FHIR coexistent dans les SI de santé modernes. Ils ne sont pas concurrents — ils répondent à des besoins différents et s'articulent via le profil IHE MHD (Mobile access to Health Documents).</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385"/>
        <w:gridCol w:w="3385"/>
      </w:tblGrid>
      <w:tr>
        <w:tc>
          <w:tcPr>
            <w:tcW w:type="dxa" w:w="225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Critère</w:t>
            </w:r>
          </w:p>
        </w:tc>
        <w:tc>
          <w:tcPr>
            <w:tcW w:type="dxa" w:w="338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XDS.b (aujourd'hui)</w:t>
            </w:r>
          </w:p>
        </w:tc>
        <w:tc>
          <w:tcPr>
            <w:tcW w:type="dxa" w:w="338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FHIR/MHD (trajectoire cible)</w:t>
            </w:r>
          </w:p>
        </w:tc>
      </w:tr>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Protocole</w:t>
            </w:r>
          </w:p>
        </w:tc>
        <w:tc>
          <w:tcPr>
            <w:tcW w:type="dxa" w:w="33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SOAP / ebXML</w:t>
            </w:r>
          </w:p>
        </w:tc>
        <w:tc>
          <w:tcPr>
            <w:tcW w:type="dxa" w:w="33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REST / JSON</w:t>
            </w:r>
          </w:p>
        </w:tc>
      </w:tr>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Maturité</w:t>
            </w:r>
          </w:p>
        </w:tc>
        <w:tc>
          <w:tcPr>
            <w:tcW w:type="dxa" w:w="33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Très mature — déployé depuis 2004</w:t>
            </w:r>
          </w:p>
        </w:tc>
        <w:tc>
          <w:tcPr>
            <w:tcW w:type="dxa" w:w="33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En forte croissance — Ségur vague 2</w:t>
            </w:r>
          </w:p>
        </w:tc>
      </w:tr>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Complexité</w:t>
            </w:r>
          </w:p>
        </w:tc>
        <w:tc>
          <w:tcPr>
            <w:tcW w:type="dxa" w:w="33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Élevée — courbe d'apprentissage longue</w:t>
            </w:r>
          </w:p>
        </w:tc>
        <w:tc>
          <w:tcPr>
            <w:tcW w:type="dxa" w:w="33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Accessible — développeurs web</w:t>
            </w:r>
          </w:p>
        </w:tc>
      </w:tr>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À Sainte-Marie</w:t>
            </w:r>
          </w:p>
        </w:tc>
        <w:tc>
          <w:tcPr>
            <w:tcW w:type="dxa" w:w="33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DMP — connecteurs éditeurs certifiés</w:t>
            </w:r>
          </w:p>
        </w:tc>
        <w:tc>
          <w:tcPr>
            <w:tcW w:type="dxa" w:w="33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Serveur Hapi (Projet 3) — futur MHD Source</w:t>
            </w:r>
          </w:p>
        </w:tc>
      </w:tr>
    </w:tbl>
    <w:p>
      <w:pPr>
        <w:spacing w:after="80" w:before="80"/>
      </w:pPr>
    </w:p>
    <w:p>
      <w:pPr>
        <w:spacing w:after="120" w:before="60"/>
      </w:pPr>
      <w:r>
        <w:rPr>
          <w:rFonts w:ascii="Arial" w:cs="Arial" w:eastAsia="Arial" w:hAnsi="Arial"/>
          <w:sz w:val="22"/>
          <w:szCs w:val="22"/>
        </w:rPr>
        <w:t xml:space="preserve">Dans une architecture cible avec passerelle MHD/XDS, le serveur FHIR Hapi du Projet 3 deviendrait une couche d'exposition et de préparation des ressources documentaires — tandis qu'une passerelle MHD/XDS ou une PFI (Plateforme Fédératrice d'Interopérabilité) certifiée assurerait la traduction vers les transactions XDS.b attendues par le DMP.</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00000" w:sz="12"/>
              <w:bottom w:val="single" w:color="CCCCCC" w:sz="1"/>
              <w:right w:val="none" w:color="FFFFFF" w:sz="0"/>
            </w:tcBorders>
            <w:shd w:fill="FFF2F2" w:val="clear"/>
            <w:tcMar>
              <w:top w:type="dxa" w:w="100"/>
              <w:left w:type="dxa" w:w="200"/>
              <w:bottom w:type="dxa" w:w="100"/>
              <w:right w:type="dxa" w:w="120"/>
            </w:tcMar>
          </w:tcPr>
          <w:p>
            <w:r>
              <w:rPr>
                <w:rFonts w:ascii="Arial" w:cs="Arial" w:eastAsia="Arial" w:hAnsi="Arial"/>
                <w:b/>
                <w:bCs/>
                <w:color w:val="C00000"/>
                <w:sz w:val="20"/>
                <w:szCs w:val="20"/>
              </w:rPr>
              <w:t xml:space="preserve">Attention : </w:t>
            </w:r>
            <w:r>
              <w:rPr>
                <w:rFonts w:ascii="Arial" w:cs="Arial" w:eastAsia="Arial" w:hAnsi="Arial"/>
                <w:sz w:val="20"/>
                <w:szCs w:val="20"/>
              </w:rPr>
              <w:t xml:space="preserve">La passerelle MHD/XDS ne supprime pas les exigences de conformité DMP — elle les centralise. Orbis n'aurait plus à porter directement toute la complexité SOAP/ebXML, mais la responsabilité de conformité DMP se déplace vers la passerelle ou la PFI, qui assure la traduction, la sécurité, la supervision et la conformité aux exigences nationales.</w:t>
            </w:r>
          </w:p>
        </w:tc>
      </w:tr>
    </w:tbl>
    <w:p>
      <w:pPr>
        <w:spacing w:after="80" w:before="80"/>
      </w:pPr>
    </w:p>
    <w:p>
      <w:pPr>
        <w:pStyle w:val="Heading3"/>
        <w:spacing w:after="80" w:before="200"/>
      </w:pPr>
      <w:r>
        <w:rPr>
          <w:rFonts w:ascii="Arial" w:cs="Arial" w:eastAsia="Arial" w:hAnsi="Arial"/>
          <w:b/>
          <w:bCs/>
          <w:color w:val="404040"/>
          <w:sz w:val="24"/>
          <w:szCs w:val="24"/>
        </w:rPr>
        <w:t xml:space="preserve">Correspondance DocumentEntry XDS — DocumentReference FHIR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10"/>
        <w:gridCol w:w="3006"/>
      </w:tblGrid>
      <w:tr>
        <w:tc>
          <w:tcPr>
            <w:tcW w:type="dxa" w:w="30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XDSDocumentEntry</w:t>
            </w:r>
          </w:p>
        </w:tc>
        <w:tc>
          <w:tcPr>
            <w:tcW w:type="dxa" w:w="30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DocumentReference FHIR R4</w:t>
            </w:r>
          </w:p>
        </w:tc>
        <w:tc>
          <w:tcPr>
            <w:tcW w:type="dxa" w:w="30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Exemple Jean DUPONT</w:t>
            </w:r>
          </w:p>
        </w:tc>
      </w:tr>
      <w:tr>
        <w:tc>
          <w:tcPr>
            <w:tcW w:type="dxa" w:w="30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patientId</w:t>
            </w:r>
          </w:p>
        </w:tc>
        <w:tc>
          <w:tcPr>
            <w:tcW w:type="dxa" w:w="3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subject (reference Patient/)</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Patient/jean-dupont (Projet 3)</w:t>
            </w:r>
          </w:p>
        </w:tc>
      </w:tr>
      <w:tr>
        <w:tc>
          <w:tcPr>
            <w:tcW w:type="dxa" w:w="30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typeCode</w:t>
            </w:r>
          </w:p>
        </w:tc>
        <w:tc>
          <w:tcPr>
            <w:tcW w:type="dxa" w:w="3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type.coding (LOINC)</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11488-4 CR consultation</w:t>
            </w:r>
          </w:p>
        </w:tc>
      </w:tr>
      <w:tr>
        <w:tc>
          <w:tcPr>
            <w:tcW w:type="dxa" w:w="30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classCode</w:t>
            </w:r>
          </w:p>
        </w:tc>
        <w:tc>
          <w:tcPr>
            <w:tcW w:type="dxa" w:w="3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category.coding</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COMPTE-RENDU</w:t>
            </w:r>
          </w:p>
        </w:tc>
      </w:tr>
      <w:tr>
        <w:tc>
          <w:tcPr>
            <w:tcW w:type="dxa" w:w="30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authorPerson</w:t>
            </w:r>
          </w:p>
        </w:tc>
        <w:tc>
          <w:tcPr>
            <w:tcW w:type="dxa" w:w="3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author (reference Practitioner/)</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Practitioner/lambert (Projet 3)</w:t>
            </w:r>
          </w:p>
        </w:tc>
      </w:tr>
      <w:tr>
        <w:tc>
          <w:tcPr>
            <w:tcW w:type="dxa" w:w="30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formatCode</w:t>
            </w:r>
          </w:p>
        </w:tc>
        <w:tc>
          <w:tcPr>
            <w:tcW w:type="dxa" w:w="3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content.format</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urn:ihe:iti:xds-sd:pdf:2008</w:t>
            </w:r>
          </w:p>
        </w:tc>
      </w:tr>
      <w:tr>
        <w:tc>
          <w:tcPr>
            <w:tcW w:type="dxa" w:w="30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SubmissionSet</w:t>
            </w:r>
          </w:p>
        </w:tc>
        <w:tc>
          <w:tcPr>
            <w:tcW w:type="dxa" w:w="3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DocumentManifest (FHIR R4)</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Supprimé en FHIR R5 — CI-SIS cible R4</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2E75B6" w:sz="12"/>
              <w:bottom w:val="single" w:color="CCCCCC" w:sz="1"/>
              <w:right w:val="none" w:color="FFFFFF" w:sz="0"/>
            </w:tcBorders>
            <w:shd w:fill="D5E8F0" w:val="clear"/>
            <w:tcMar>
              <w:top w:type="dxa" w:w="100"/>
              <w:left w:type="dxa" w:w="200"/>
              <w:bottom w:type="dxa" w:w="100"/>
              <w:right w:type="dxa" w:w="120"/>
            </w:tcMar>
          </w:tcPr>
          <w:p>
            <w:r>
              <w:rPr>
                <w:rFonts w:ascii="Arial" w:cs="Arial" w:eastAsia="Arial" w:hAnsi="Arial"/>
                <w:b/>
                <w:bCs/>
                <w:color w:val="2E75B6"/>
                <w:sz w:val="20"/>
                <w:szCs w:val="20"/>
              </w:rPr>
              <w:t xml:space="preserve">Ségur du Numérique : </w:t>
            </w:r>
            <w:r>
              <w:rPr>
                <w:rFonts w:ascii="Arial" w:cs="Arial" w:eastAsia="Arial" w:hAnsi="Arial"/>
                <w:sz w:val="20"/>
                <w:szCs w:val="20"/>
              </w:rPr>
              <w:t xml:space="preserve">Le Ségur vague 2 impose aux éditeurs d'exposer des API FHIR R4. MHD est le profil IHE qui permet de faire coexister ces nouvelles API avec l'infrastructure XDS.b existante du DMP — sans tout reconstruire.</w:t>
            </w:r>
          </w:p>
        </w:tc>
      </w:tr>
    </w:tbl>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7. Cohérence portfolio et références</w:t>
      </w:r>
    </w:p>
    <w:p>
      <w:pPr>
        <w:pStyle w:val="Heading2"/>
        <w:spacing w:after="120" w:before="280"/>
      </w:pPr>
      <w:r>
        <w:rPr>
          <w:rFonts w:ascii="Arial" w:cs="Arial" w:eastAsia="Arial" w:hAnsi="Arial"/>
          <w:b/>
          <w:bCs/>
          <w:color w:val="2E75B6"/>
          <w:sz w:val="26"/>
          <w:szCs w:val="26"/>
        </w:rPr>
        <w:t xml:space="preserve">7.1 Cohérence avec les projets 1, 2 et 3</w:t>
      </w:r>
    </w:p>
    <w:p>
      <w:pPr>
        <w:spacing w:after="120" w:before="60"/>
      </w:pPr>
      <w:r>
        <w:rPr>
          <w:rFonts w:ascii="Arial" w:cs="Arial" w:eastAsia="Arial" w:hAnsi="Arial"/>
          <w:sz w:val="22"/>
          <w:szCs w:val="22"/>
        </w:rPr>
        <w:t xml:space="preserve">Ce projet est le point de convergence des trois projets précédents. Chaque projet antérieur contribue un élément indispensable à l'architecture XDS.b.</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5"/>
        <w:gridCol w:w="2256"/>
        <w:gridCol w:w="2256"/>
        <w:gridCol w:w="3009"/>
      </w:tblGrid>
      <w:tr>
        <w:tc>
          <w:tcPr>
            <w:tcW w:type="dxa" w:w="150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Projet</w:t>
            </w:r>
          </w:p>
        </w:tc>
        <w:tc>
          <w:tcPr>
            <w:tcW w:type="dxa" w:w="225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Standard</w:t>
            </w:r>
          </w:p>
        </w:tc>
        <w:tc>
          <w:tcPr>
            <w:tcW w:type="dxa" w:w="225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Livrable</w:t>
            </w:r>
          </w:p>
        </w:tc>
        <w:tc>
          <w:tcPr>
            <w:tcW w:type="dxa" w:w="3009"/>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Contribution à XDS</w:t>
            </w:r>
          </w:p>
        </w:tc>
      </w:tr>
      <w:tr>
        <w:tc>
          <w:tcPr>
            <w:tcW w:type="dxa" w:w="15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Projet 1</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HL7 v2</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17 flux ADT/ORM/ORU</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ADT^A01 (admission) déclenche la publication XDS F1</w:t>
            </w:r>
          </w:p>
        </w:tc>
      </w:tr>
      <w:tr>
        <w:tc>
          <w:tcPr>
            <w:tcW w:type="dxa" w:w="15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Projet 2</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FHIR R4 Profil</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SteMariePatientINS</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INS-NIR du profil = patientId XDS de tous les DocumentEntry</w:t>
            </w:r>
          </w:p>
        </w:tc>
      </w:tr>
      <w:tr>
        <w:tc>
          <w:tcPr>
            <w:tcW w:type="dxa" w:w="15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Projet 3</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FHIR R4 Serveur</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Hapi FHIR Railway</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Future brique MHD Source — DocumentReference FHIR vers DMP</w:t>
            </w:r>
          </w:p>
        </w:tc>
      </w:tr>
      <w:tr>
        <w:tc>
          <w:tcPr>
            <w:tcW w:type="dxa" w:w="15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Projet 4</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IHE XDS.b</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Ce document</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Couche de partage documentaire — synthèse de l'architecture</w:t>
            </w:r>
          </w:p>
        </w:tc>
      </w:tr>
    </w:tbl>
    <w:p>
      <w:pPr>
        <w:spacing w:after="80" w:before="80"/>
      </w:pPr>
    </w:p>
    <w:p>
      <w:pPr>
        <w:pStyle w:val="Heading2"/>
        <w:spacing w:after="120" w:before="280"/>
      </w:pPr>
      <w:r>
        <w:rPr>
          <w:rFonts w:ascii="Arial" w:cs="Arial" w:eastAsia="Arial" w:hAnsi="Arial"/>
          <w:b/>
          <w:bCs/>
          <w:color w:val="2E75B6"/>
          <w:sz w:val="26"/>
          <w:szCs w:val="26"/>
        </w:rPr>
        <w:t xml:space="preserve">7.2 Références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6016"/>
      </w:tblGrid>
      <w:tr>
        <w:tc>
          <w:tcPr>
            <w:tcW w:type="dxa" w:w="30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Ressource</w:t>
            </w:r>
          </w:p>
        </w:tc>
        <w:tc>
          <w:tcPr>
            <w:tcW w:type="dxa" w:w="601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URL</w:t>
            </w:r>
          </w:p>
        </w:tc>
      </w:tr>
      <w:tr>
        <w:tc>
          <w:tcPr>
            <w:tcW w:type="dxa" w:w="30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CI-SIS ANS</w:t>
            </w:r>
          </w:p>
        </w:tc>
        <w:tc>
          <w:tcPr>
            <w:tcW w:type="dxa" w:w="60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esante.gouv.fr/offres-services/ci-sis/espace-publication</w:t>
            </w:r>
          </w:p>
        </w:tc>
      </w:tr>
      <w:tr>
        <w:tc>
          <w:tcPr>
            <w:tcW w:type="dxa" w:w="30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SMT — Terminologies ANS</w:t>
            </w:r>
          </w:p>
        </w:tc>
        <w:tc>
          <w:tcPr>
            <w:tcW w:type="dxa" w:w="60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mos.esante.gouv.fr</w:t>
            </w:r>
          </w:p>
        </w:tc>
      </w:tr>
      <w:tr>
        <w:tc>
          <w:tcPr>
            <w:tcW w:type="dxa" w:w="30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NOS ANS (nomenclatures)</w:t>
            </w:r>
          </w:p>
        </w:tc>
        <w:tc>
          <w:tcPr>
            <w:tcW w:type="dxa" w:w="60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interop.esante.gouv.fr/ig/nos</w:t>
            </w:r>
          </w:p>
        </w:tc>
      </w:tr>
      <w:tr>
        <w:tc>
          <w:tcPr>
            <w:tcW w:type="dxa" w:w="30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Gazelle ANS</w:t>
            </w:r>
          </w:p>
        </w:tc>
        <w:tc>
          <w:tcPr>
            <w:tcW w:type="dxa" w:w="60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gazelle.esante.gouv.fr</w:t>
            </w:r>
          </w:p>
        </w:tc>
      </w:tr>
      <w:tr>
        <w:tc>
          <w:tcPr>
            <w:tcW w:type="dxa" w:w="30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IHE ITI XDS.b</w:t>
            </w:r>
          </w:p>
        </w:tc>
        <w:tc>
          <w:tcPr>
            <w:tcW w:type="dxa" w:w="60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IHE ITI Technical Framework — Volume 3 — Section 4</w:t>
            </w:r>
          </w:p>
        </w:tc>
      </w:tr>
      <w:tr>
        <w:tc>
          <w:tcPr>
            <w:tcW w:type="dxa" w:w="30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IHE MHD</w:t>
            </w:r>
          </w:p>
        </w:tc>
        <w:tc>
          <w:tcPr>
            <w:tcW w:type="dxa" w:w="60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IHE ITI Technical Framework — MHD Supplement</w:t>
            </w:r>
          </w:p>
        </w:tc>
      </w:tr>
      <w:tr>
        <w:tc>
          <w:tcPr>
            <w:tcW w:type="dxa" w:w="30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ANS DRIM-M</w:t>
            </w:r>
          </w:p>
        </w:tc>
        <w:tc>
          <w:tcPr>
            <w:tcW w:type="dxa" w:w="60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esante.gouv.fr/offres-services/programmes-services/drim-m</w:t>
            </w:r>
          </w:p>
        </w:tc>
      </w:tr>
      <w:tr>
        <w:tc>
          <w:tcPr>
            <w:tcW w:type="dxa" w:w="30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JDV_J02 healthcareFacilityCode</w:t>
            </w:r>
          </w:p>
        </w:tc>
        <w:tc>
          <w:tcPr>
            <w:tcW w:type="dxa" w:w="60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interop.esante.gouv.fr/ig/nos/1.4.0/ValueSet-JDV-J02</w:t>
            </w:r>
          </w:p>
        </w:tc>
      </w:tr>
      <w:tr>
        <w:tc>
          <w:tcPr>
            <w:tcW w:type="dxa" w:w="30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MOS ANS — PartageDocument</w:t>
            </w:r>
          </w:p>
        </w:tc>
        <w:tc>
          <w:tcPr>
            <w:tcW w:type="dxa" w:w="60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mos.esante.gouv.fr/19.html</w:t>
            </w:r>
          </w:p>
        </w:tc>
      </w:tr>
      <w:tr>
        <w:tc>
          <w:tcPr>
            <w:tcW w:type="dxa" w:w="30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Ségur du Numérique en Santé</w:t>
            </w:r>
          </w:p>
        </w:tc>
        <w:tc>
          <w:tcPr>
            <w:tcW w:type="dxa" w:w="60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esante.gouv.fr/segur</w:t>
            </w:r>
          </w:p>
        </w:tc>
      </w:tr>
      <w:tr>
        <w:tc>
          <w:tcPr>
            <w:tcW w:type="dxa" w:w="30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GitHub portfolio</w:t>
            </w:r>
          </w:p>
        </w:tc>
        <w:tc>
          <w:tcPr>
            <w:tcW w:type="dxa" w:w="60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portfolio-interop-sante / Projet-4-ihe-xds</w:t>
            </w:r>
          </w:p>
        </w:tc>
      </w:tr>
    </w:tbl>
    <w:p>
      <w:pPr>
        <w:spacing w:after="80" w:before="80"/>
      </w:pPr>
    </w:p>
    <w:p>
      <w:pPr>
        <w:pStyle w:val="Heading1"/>
        <w:pBdr>
          <w:bottom w:val="single" w:color="2E75B6" w:sz="6" w:space="4"/>
        </w:pBdr>
        <w:spacing w:after="180" w:before="360"/>
      </w:pPr>
      <w:r>
        <w:rPr>
          <w:rFonts w:ascii="Arial" w:cs="Arial" w:eastAsia="Arial" w:hAnsi="Arial"/>
          <w:b/>
          <w:bCs/>
          <w:color w:val="1F4E79"/>
          <w:sz w:val="32"/>
          <w:szCs w:val="32"/>
        </w:rPr>
        <w:t xml:space="preserve">8. Historique des versions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5"/>
        <w:gridCol w:w="2000"/>
        <w:gridCol w:w="2521"/>
        <w:gridCol w:w="3000"/>
      </w:tblGrid>
      <w:tr>
        <w:tc>
          <w:tcPr>
            <w:tcW w:type="dxa" w:w="150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Date</w:t>
            </w:r>
          </w:p>
        </w:tc>
        <w:tc>
          <w:tcPr>
            <w:tcW w:type="dxa" w:w="252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Auteur</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Modifications</w:t>
            </w:r>
          </w:p>
        </w:tc>
      </w:tr>
      <w:tr>
        <w:tc>
          <w:tcPr>
            <w:tcW w:type="dxa" w:w="15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Mai 2026</w:t>
            </w:r>
          </w:p>
        </w:tc>
        <w:tc>
          <w:tcPr>
            <w:tcW w:type="dxa" w:w="25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Portfolio Interop. SI Santé</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Version initiale — 8 sections</w:t>
            </w:r>
          </w:p>
        </w:tc>
      </w:tr>
      <w:tr>
        <w:tc>
          <w:tcPr>
            <w:tcW w:type="dxa" w:w="15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Mai 2026</w:t>
            </w:r>
          </w:p>
        </w:tc>
        <w:tc>
          <w:tcPr>
            <w:tcW w:type="dxa" w:w="25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Portfolio Interop. SI Santé</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Ajout sections 7 (limites/avantages) et 8 (articulation FHIR/MHD)</w:t>
            </w:r>
          </w:p>
        </w:tc>
      </w:tr>
      <w:tr>
        <w:tc>
          <w:tcPr>
            <w:tcW w:type="dxa" w:w="15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1F4E79"/>
                <w:sz w:val="20"/>
                <w:szCs w:val="20"/>
              </w:rPr>
              <w:t xml:space="preserve">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Juin 2026</w:t>
            </w:r>
          </w:p>
        </w:tc>
        <w:tc>
          <w:tcPr>
            <w:tcW w:type="dxa" w:w="25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Portfolio Interop. SI Santé</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Refonte complète : hypothèses portfolio, justification MOS, 2 cas détaillés, SubmissionSet, ENF, gestion erreurs, DRIMbox nuancée, accents corrigés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8"/>
        <w:szCs w:val="18"/>
      </w:rPr>
      <w:t xml:space="preserve">Portfolio Interopérabilité SI Santé — 2026</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888888"/>
        <w:sz w:val="18"/>
        <w:szCs w:val="18"/>
      </w:rPr>
      <w:t xml:space="preserve">DAT — Projet 4 · IHE XDS.b · v2.0</w:t>
    </w:r>
    <w:r>
      <w:rPr>
        <w:rFonts w:ascii="Arial" w:cs="Arial" w:eastAsia="Arial" w:hAnsi="Arial"/>
        <w:color w:val="888888"/>
        <w:sz w:val="18"/>
        <w:szCs w:val="18"/>
      </w:rPr>
      <w:t xml:space="preserve">	Clinique Sainte-Marie · Cas pédagogique — données simulées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2026-07-01T12:41:04.435Z</dcterms:created>
  <dcterms:modified xsi:type="dcterms:W3CDTF">2026-07-01T12:41:04.450Z</dcterms:modified>
</cp:coreProperties>
</file>

<file path=docProps/custom.xml><?xml version="1.0" encoding="utf-8"?>
<Properties xmlns="http://schemas.openxmlformats.org/officeDocument/2006/custom-properties" xmlns:vt="http://schemas.openxmlformats.org/officeDocument/2006/docPropsVTypes"/>
</file>