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503524" w14:paraId="4C97C788" w14:textId="77777777">
        <w:tblPrEx>
          <w:tblCellMar>
            <w:top w:w="0" w:type="dxa"/>
            <w:bottom w:w="0" w:type="dxa"/>
          </w:tblCellMar>
        </w:tblPrEx>
        <w:tc>
          <w:tcPr>
            <w:tcW w:w="10440" w:type="dxa"/>
            <w:shd w:val="clear" w:color="auto" w:fill="4B5320"/>
            <w:tcMar>
              <w:top w:w="140" w:type="dxa"/>
              <w:left w:w="220" w:type="dxa"/>
              <w:bottom w:w="140" w:type="dxa"/>
              <w:right w:w="220" w:type="dxa"/>
            </w:tcMar>
          </w:tcPr>
          <w:p w14:paraId="1484BCA1" w14:textId="77777777" w:rsidR="00503524" w:rsidRDefault="00FA3A69">
            <w:r>
              <w:rPr>
                <w:rFonts w:ascii="Calibri" w:eastAsia="Calibri" w:hAnsi="Calibri" w:cs="Calibri"/>
                <w:b/>
                <w:bCs/>
                <w:color w:val="FFFFFF"/>
                <w:sz w:val="30"/>
                <w:szCs w:val="30"/>
              </w:rPr>
              <w:t>PROJECT SUMMARY</w:t>
            </w:r>
          </w:p>
          <w:p w14:paraId="43451733" w14:textId="2B16FFD1" w:rsidR="00503524" w:rsidRDefault="00363D85">
            <w:pPr>
              <w:spacing w:before="40"/>
            </w:pPr>
            <w:r>
              <w:rPr>
                <w:rFonts w:ascii="Calibri" w:eastAsia="Calibri" w:hAnsi="Calibri" w:cs="Calibri"/>
                <w:color w:val="E8E1CC"/>
                <w:sz w:val="18"/>
                <w:szCs w:val="18"/>
              </w:rPr>
              <w:t>10 Inch Quad  -  Build and Systems Integration</w:t>
            </w:r>
          </w:p>
        </w:tc>
      </w:tr>
    </w:tbl>
    <w:p w14:paraId="75CE9B99" w14:textId="77777777" w:rsidR="00503524" w:rsidRDefault="00503524">
      <w:pPr>
        <w:spacing w:after="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20"/>
        <w:gridCol w:w="1600"/>
        <w:gridCol w:w="3620"/>
      </w:tblGrid>
      <w:tr w:rsidR="00503524" w14:paraId="73210D9B" w14:textId="77777777">
        <w:tblPrEx>
          <w:tblCellMar>
            <w:top w:w="0" w:type="dxa"/>
            <w:bottom w:w="0" w:type="dxa"/>
          </w:tblCellMar>
        </w:tblPrEx>
        <w:tc>
          <w:tcPr>
            <w:tcW w:w="1600" w:type="dxa"/>
            <w:shd w:val="clear" w:color="auto" w:fill="E8E1CC"/>
            <w:tcMar>
              <w:top w:w="60" w:type="dxa"/>
              <w:left w:w="100" w:type="dxa"/>
              <w:bottom w:w="60" w:type="dxa"/>
              <w:right w:w="100" w:type="dxa"/>
            </w:tcMar>
          </w:tcPr>
          <w:p w14:paraId="12342BB4" w14:textId="77777777" w:rsidR="00503524" w:rsidRDefault="00FA3A69">
            <w:r w:rsidRPr="00363D85">
              <w:rPr>
                <w:rFonts w:ascii="Calibri" w:eastAsia="Calibri" w:hAnsi="Calibri" w:cs="Calibri"/>
                <w:b/>
                <w:bCs/>
                <w:color w:val="000000" w:themeColor="text1"/>
                <w:sz w:val="16"/>
                <w:szCs w:val="16"/>
              </w:rPr>
              <w:t>PROJECT TITLE</w:t>
            </w:r>
          </w:p>
        </w:tc>
        <w:tc>
          <w:tcPr>
            <w:tcW w:w="3620" w:type="dxa"/>
            <w:tcMar>
              <w:top w:w="60" w:type="dxa"/>
              <w:left w:w="100" w:type="dxa"/>
              <w:bottom w:w="60" w:type="dxa"/>
              <w:right w:w="100" w:type="dxa"/>
            </w:tcMar>
          </w:tcPr>
          <w:p w14:paraId="767D5A40" w14:textId="77777777" w:rsidR="00503524" w:rsidRDefault="00FA3A69">
            <w:r>
              <w:rPr>
                <w:rFonts w:ascii="Georgia" w:eastAsia="Georgia" w:hAnsi="Georgia" w:cs="Georgia"/>
              </w:rPr>
              <w:t>10 Inch Autonomous FPV Quad</w:t>
            </w:r>
          </w:p>
        </w:tc>
        <w:tc>
          <w:tcPr>
            <w:tcW w:w="1600" w:type="dxa"/>
            <w:shd w:val="clear" w:color="auto" w:fill="E8E1CC"/>
            <w:tcMar>
              <w:top w:w="60" w:type="dxa"/>
              <w:left w:w="100" w:type="dxa"/>
              <w:bottom w:w="60" w:type="dxa"/>
              <w:right w:w="100" w:type="dxa"/>
            </w:tcMar>
          </w:tcPr>
          <w:p w14:paraId="41FC3C7D" w14:textId="77777777" w:rsidR="00503524" w:rsidRPr="00363D85" w:rsidRDefault="00FA3A69">
            <w:pPr>
              <w:rPr>
                <w:b/>
                <w:bCs/>
                <w:color w:val="000000" w:themeColor="text1"/>
              </w:rPr>
            </w:pPr>
            <w:r w:rsidRPr="00363D85">
              <w:rPr>
                <w:rFonts w:ascii="Calibri" w:eastAsia="Calibri" w:hAnsi="Calibri" w:cs="Calibri"/>
                <w:b/>
                <w:bCs/>
                <w:color w:val="000000" w:themeColor="text1"/>
                <w:sz w:val="16"/>
                <w:szCs w:val="16"/>
              </w:rPr>
              <w:t>SCOPE</w:t>
            </w:r>
          </w:p>
        </w:tc>
        <w:tc>
          <w:tcPr>
            <w:tcW w:w="3620" w:type="dxa"/>
            <w:tcMar>
              <w:top w:w="60" w:type="dxa"/>
              <w:left w:w="100" w:type="dxa"/>
              <w:bottom w:w="60" w:type="dxa"/>
              <w:right w:w="100" w:type="dxa"/>
            </w:tcMar>
          </w:tcPr>
          <w:p w14:paraId="04A96F57" w14:textId="77777777" w:rsidR="00503524" w:rsidRDefault="00FA3A69">
            <w:r>
              <w:rPr>
                <w:rFonts w:ascii="Georgia" w:eastAsia="Georgia" w:hAnsi="Georgia" w:cs="Georgia"/>
              </w:rPr>
              <w:t>Aircraft and Payload Integration</w:t>
            </w:r>
            <w:proofErr w:type="spellStart"/>
            <w:proofErr w:type="spellEnd"/>
          </w:p>
        </w:tc>
      </w:tr>
      <w:tr w:rsidR="00503524" w14:paraId="2C2AF4BD" w14:textId="77777777">
        <w:tblPrEx>
          <w:tblCellMar>
            <w:top w:w="0" w:type="dxa"/>
            <w:bottom w:w="0" w:type="dxa"/>
          </w:tblCellMar>
        </w:tblPrEx>
        <w:tc>
          <w:tcPr>
            <w:tcW w:w="1600" w:type="dxa"/>
            <w:shd w:val="clear" w:color="auto" w:fill="E8E1CC"/>
            <w:tcMar>
              <w:top w:w="60" w:type="dxa"/>
              <w:left w:w="100" w:type="dxa"/>
              <w:bottom w:w="60" w:type="dxa"/>
              <w:right w:w="100" w:type="dxa"/>
            </w:tcMar>
          </w:tcPr>
          <w:p w14:paraId="5613EB91" w14:textId="77777777" w:rsidR="00503524" w:rsidRPr="00363D85" w:rsidRDefault="00FA3A69">
            <w:pPr>
              <w:rPr>
                <w:color w:val="000000" w:themeColor="text1"/>
              </w:rPr>
            </w:pPr>
            <w:r w:rsidRPr="00363D85">
              <w:rPr>
                <w:rFonts w:ascii="Calibri" w:eastAsia="Calibri" w:hAnsi="Calibri" w:cs="Calibri"/>
                <w:b/>
                <w:bCs/>
                <w:color w:val="000000" w:themeColor="text1"/>
                <w:sz w:val="16"/>
                <w:szCs w:val="16"/>
              </w:rPr>
              <w:t>OWNER</w:t>
            </w:r>
          </w:p>
        </w:tc>
        <w:tc>
          <w:tcPr>
            <w:tcW w:w="3620" w:type="dxa"/>
            <w:tcMar>
              <w:top w:w="60" w:type="dxa"/>
              <w:left w:w="100" w:type="dxa"/>
              <w:bottom w:w="60" w:type="dxa"/>
              <w:right w:w="100" w:type="dxa"/>
            </w:tcMar>
          </w:tcPr>
          <w:p w14:paraId="5541080B" w14:textId="77777777" w:rsidR="00503524" w:rsidRDefault="00FA3A69">
            <w:r>
              <w:rPr>
                <w:rFonts w:ascii="Georgia" w:eastAsia="Georgia" w:hAnsi="Georgia" w:cs="Georgia"/>
                <w:i/>
                <w:iCs/>
                <w:color w:val="666655"/>
              </w:rPr>
              <w:t>Project Team</w:t>
            </w:r>
          </w:p>
        </w:tc>
        <w:tc>
          <w:tcPr>
            <w:tcW w:w="1600" w:type="dxa"/>
            <w:shd w:val="clear" w:color="auto" w:fill="E8E1CC"/>
            <w:tcMar>
              <w:top w:w="60" w:type="dxa"/>
              <w:left w:w="100" w:type="dxa"/>
              <w:bottom w:w="60" w:type="dxa"/>
              <w:right w:w="100" w:type="dxa"/>
            </w:tcMar>
          </w:tcPr>
          <w:p w14:paraId="3ADE7D31" w14:textId="77777777" w:rsidR="00503524" w:rsidRPr="00363D85" w:rsidRDefault="00FA3A69">
            <w:pPr>
              <w:rPr>
                <w:color w:val="000000" w:themeColor="text1"/>
              </w:rPr>
            </w:pPr>
            <w:r w:rsidRPr="00363D85">
              <w:rPr>
                <w:rFonts w:ascii="Calibri" w:eastAsia="Calibri" w:hAnsi="Calibri" w:cs="Calibri"/>
                <w:b/>
                <w:bCs/>
                <w:color w:val="000000" w:themeColor="text1"/>
                <w:sz w:val="16"/>
                <w:szCs w:val="16"/>
              </w:rPr>
              <w:t>PERIOD</w:t>
            </w:r>
          </w:p>
        </w:tc>
        <w:tc>
          <w:tcPr>
            <w:tcW w:w="3620" w:type="dxa"/>
            <w:tcMar>
              <w:top w:w="60" w:type="dxa"/>
              <w:left w:w="100" w:type="dxa"/>
              <w:bottom w:w="60" w:type="dxa"/>
              <w:right w:w="100" w:type="dxa"/>
            </w:tcMar>
          </w:tcPr>
          <w:p w14:paraId="0475898F" w14:textId="77777777" w:rsidR="00503524" w:rsidRDefault="00FA3A69">
            <w:r>
              <w:rPr>
                <w:rFonts w:ascii="Georgia" w:eastAsia="Georgia" w:hAnsi="Georgia" w:cs="Georgia"/>
                <w:i/>
                <w:iCs/>
                <w:color w:val="666655"/>
              </w:rPr>
              <w:t>8-29 September 2026</w:t>
            </w:r>
          </w:p>
        </w:tc>
      </w:tr>
    </w:tbl>
    <w:p w14:paraId="06FBBC92" w14:textId="77777777" w:rsidR="00503524" w:rsidRDefault="00FA3A69">
      <w:pPr>
        <w:pBdr>
          <w:bottom w:val="single" w:sz="6" w:space="2" w:color="9C7A2A"/>
        </w:pBdr>
        <w:spacing w:before="180" w:after="60"/>
      </w:pPr>
      <w:r>
        <w:rPr>
          <w:rFonts w:ascii="Calibri" w:eastAsia="Calibri" w:hAnsi="Calibri" w:cs="Calibri"/>
          <w:b/>
          <w:bCs/>
          <w:color w:val="3A4019"/>
          <w:sz w:val="21"/>
          <w:szCs w:val="21"/>
        </w:rPr>
        <w:t>EXECUTIVE SUMMARY</w:t>
      </w:r>
      <w:r>
        <w:rPr>
          <w:rFonts w:ascii="Calibri" w:hAnsi="Calibri"/>
          <w:b w:val="0"/>
          <w:i/>
          <w:sz w:val="15"/>
        </w:rPr>
        <w:t xml:space="preserve">   (required)</w:t>
      </w:r>
    </w:p>
    <w:p w14:paraId="027DF294" w14:textId="77777777" w:rsidR="00503524" w:rsidRDefault="00FA3A69">
      <w:pPr>
        <w:spacing w:after="30" w:line="240" w:lineRule="auto"/>
      </w:pPr>
      <w:r>
        <w:rPr>
          <w:rFonts w:ascii="Georgia" w:eastAsia="Georgia" w:hAnsi="Georgia" w:cs="Georgia"/>
          <w:color w:val="2B2B24"/>
          <w:sz w:val="18"/>
          <w:szCs w:val="21"/>
        </w:rPr>
        <w:t>The project advanced an on-hand Rekon10-based 4S quad from a planning package to a flying, instrumented platform with verified RC control, GPS and compass integration, battery sensing, QGroundControl mission support, mesh networking, digital video, and preserved analog FPV. A successful hover and an autonomous route attempt were completed. The route ended in a controlled battery-failsafe landing that was traced to voltage-scale error and corrected. Two advanced functions - a safety-device arbiter and nearest-waypoint-ahead mission entry - were also implemented and extensively validated in simulation, but still require defined real-hardware gates.</w:t>
      </w:r>
      <w:proofErr w:type="spellStart"/>
      <w:proofErr w:type="spellEnd"/>
    </w:p>
    <w:p w14:paraId="34CFBA75" w14:textId="77777777" w:rsidR="00503524" w:rsidRDefault="00FA3A69">
      <w:pPr>
        <w:pBdr>
          <w:bottom w:val="single" w:sz="6" w:space="2" w:color="9C7A2A"/>
        </w:pBdr>
        <w:spacing w:before="180" w:after="60"/>
      </w:pPr>
      <w:r>
        <w:rPr>
          <w:rFonts w:ascii="Calibri" w:eastAsia="Calibri" w:hAnsi="Calibri" w:cs="Calibri"/>
          <w:b/>
          <w:bCs/>
          <w:color w:val="3A4019"/>
          <w:sz w:val="21"/>
          <w:szCs w:val="21"/>
        </w:rPr>
        <w:t>PURPOSE</w:t>
      </w:r>
      <w:r>
        <w:rPr>
          <w:rFonts w:ascii="Calibri" w:hAnsi="Calibri"/>
          <w:b w:val="0"/>
          <w:i/>
          <w:sz w:val="15"/>
        </w:rPr>
        <w:t xml:space="preserve">   (required)</w:t>
      </w:r>
    </w:p>
    <w:p w14:paraId="2030F82B" w14:textId="77777777" w:rsidR="00503524" w:rsidRDefault="00FA3A69">
      <w:pPr>
        <w:spacing w:after="30" w:line="240" w:lineRule="auto"/>
      </w:pPr>
      <w:r>
        <w:rPr>
          <w:rFonts w:ascii="Georgia" w:eastAsia="Georgia" w:hAnsi="Georgia" w:cs="Georgia"/>
          <w:color w:val="2B2B24"/>
          <w:sz w:val="18"/>
          <w:szCs w:val="21"/>
        </w:rPr>
        <w:t>The work aimed to turn the 10 inch aircraft into a recoverable test platform for manual flight, autonomous missions, resilient telemetry and video, and future safety-device demonstrations. The team used staged configuration, backups, read-only audits, log review, and repeatable SITL evidence so each expansion could be assessed without treating a single successful flight as proof of the whole system.</w:t>
      </w:r>
      <w:proofErr w:type="gramStart"/>
      <w:proofErr w:type="gramEnd"/>
      <w:proofErr w:type="spellStart"/>
      <w:proofErr w:type="spellEnd"/>
    </w:p>
    <w:p w14:paraId="11AD560D" w14:textId="77777777" w:rsidR="00503524" w:rsidRDefault="00FA3A69">
      <w:pPr>
        <w:pBdr>
          <w:bottom w:val="single" w:sz="6" w:space="2" w:color="9C7A2A"/>
        </w:pBdr>
        <w:spacing w:before="180" w:after="60"/>
      </w:pPr>
      <w:r>
        <w:rPr>
          <w:rFonts w:ascii="Calibri" w:eastAsia="Calibri" w:hAnsi="Calibri" w:cs="Calibri"/>
          <w:b/>
          <w:bCs/>
          <w:color w:val="3A4019"/>
          <w:sz w:val="21"/>
          <w:szCs w:val="21"/>
        </w:rPr>
        <w:t>OBJECTIVES</w:t>
      </w:r>
    </w:p>
    <w:p w14:paraId="41CAEEB0" w14:textId="77777777" w:rsidR="00503524" w:rsidRDefault="00FA3A69">
      <w:pPr>
        <w:pStyle w:val="ListParagraph"/>
        <w:numPr>
          <w:ilvl w:val="0"/>
          <w:numId w:val="2"/>
        </w:numPr>
        <w:spacing w:after="30" w:line="240" w:lineRule="auto"/>
      </w:pPr>
      <w:r>
        <w:rPr>
          <w:rFonts w:ascii="Georgia" w:eastAsia="Georgia" w:hAnsi="Georgia" w:cs="Georgia"/>
          <w:color w:val="2B2B24"/>
          <w:sz w:val="18"/>
        </w:rPr>
        <w:t>Bring up the LUX F765 aircraft safely and establish reliable RC, sensors, motors, failsafes, battery voltage, and stable hover.</w:t>
      </w:r>
    </w:p>
    <w:p w14:paraId="2133B819" w14:textId="77777777" w:rsidR="00503524" w:rsidRDefault="00FA3A69">
      <w:pPr>
        <w:pStyle w:val="ListParagraph"/>
        <w:numPr>
          <w:ilvl w:val="0"/>
          <w:numId w:val="2"/>
        </w:numPr>
        <w:spacing w:after="30" w:line="240" w:lineRule="auto"/>
      </w:pPr>
      <w:r>
        <w:rPr>
          <w:rFonts w:ascii="Georgia" w:eastAsia="Georgia" w:hAnsi="Georgia" w:cs="Georgia"/>
          <w:color w:val="2B2B24"/>
          <w:sz w:val="18"/>
        </w:rPr>
        <w:t>Integrate QGroundControl for telemetry and controlled mission planning while preserving ELRS as the primary pilot link.</w:t>
      </w:r>
      <w:proofErr w:type="spellStart"/>
      <w:proofErr w:type="spellEnd"/>
    </w:p>
    <w:p w14:paraId="582A489C" w14:textId="77777777" w:rsidR="00503524" w:rsidRDefault="00FA3A69">
      <w:pPr>
        <w:pStyle w:val="ListParagraph"/>
        <w:numPr>
          <w:ilvl w:val="0"/>
          <w:numId w:val="2"/>
        </w:numPr>
        <w:spacing w:after="30" w:line="240" w:lineRule="auto"/>
      </w:pPr>
      <w:r>
        <w:rPr>
          <w:rFonts w:ascii="Georgia" w:eastAsia="Georgia" w:hAnsi="Georgia" w:cs="Georgia"/>
          <w:color w:val="2B2B24"/>
          <w:sz w:val="18"/>
        </w:rPr>
        <w:t>Join the Doodle Labs mesh and deliver Raspberry Pi camera video to QGroundControl without replacing the analog pilot-video path.</w:t>
      </w:r>
    </w:p>
    <w:p w14:paraId="693064FB" w14:textId="77777777" w:rsidR="00503524" w:rsidRDefault="00FA3A69">
      <w:pPr>
        <w:pStyle w:val="ListParagraph"/>
        <w:numPr>
          <w:ilvl w:val="0"/>
          <w:numId w:val="2"/>
        </w:numPr>
        <w:spacing w:after="30" w:line="240" w:lineRule="auto"/>
      </w:pPr>
      <w:r>
        <w:rPr>
          <w:rFonts w:ascii="Georgia" w:eastAsia="Georgia" w:hAnsi="Georgia" w:cs="Georgia"/>
          <w:color w:val="2B2B24"/>
          <w:sz w:val="18"/>
        </w:rPr>
        <w:t>Design a single-source Pocket and QGC safety arbiter with conservative link-loss behavior and measurable device status.</w:t>
      </w:r>
    </w:p>
    <w:p w14:paraId="009EE900" w14:textId="77777777" w:rsidR="00503524" w:rsidRDefault="00FA3A69">
      <w:pPr>
        <w:pStyle w:val="ListParagraph"/>
        <w:numPr>
          <w:ilvl w:val="0"/>
          <w:numId w:val="2"/>
        </w:numPr>
        <w:spacing w:after="30" w:line="240" w:lineRule="auto"/>
      </w:pPr>
      <w:r>
        <w:rPr>
          <w:rFonts w:ascii="Georgia" w:eastAsia="Georgia" w:hAnsi="Georgia" w:cs="Georgia"/>
          <w:color w:val="2B2B24"/>
          <w:sz w:val="18"/>
        </w:rPr>
        <w:t>Develop a nearest-waypoint-ahead Lua entry method and validate its geometry, mission semantics, speed state, and rollback behavior in ArduCopter 4.7.1 SITL.</w:t>
      </w:r>
    </w:p>
    <w:p w14:paraId="6B5D431E" w14:textId="77777777" w:rsidR="00503524" w:rsidRDefault="00FA3A69">
      <w:pPr>
        <w:pBdr>
          <w:bottom w:val="single" w:sz="6" w:space="2" w:color="9C7A2A"/>
        </w:pBdr>
        <w:spacing w:before="180" w:after="60"/>
      </w:pPr>
      <w:r>
        <w:rPr>
          <w:rFonts w:ascii="Calibri" w:eastAsia="Calibri" w:hAnsi="Calibri" w:cs="Calibri"/>
          <w:b/>
          <w:bCs/>
          <w:color w:val="3A4019"/>
          <w:sz w:val="21"/>
          <w:szCs w:val="21"/>
        </w:rPr>
        <w:t>APPROACH</w:t>
      </w:r>
    </w:p>
    <w:p w14:paraId="73E4D6D9" w14:textId="77777777" w:rsidR="00503524" w:rsidRDefault="00FA3A69">
      <w:pPr>
        <w:spacing w:after="30" w:line="240" w:lineRule="auto"/>
      </w:pPr>
      <w:r>
        <w:rPr>
          <w:rFonts w:ascii="Georgia" w:eastAsia="Georgia" w:hAnsi="Georgia" w:cs="Georgia"/>
          <w:color w:val="2B2B24"/>
          <w:sz w:val="18"/>
          <w:szCs w:val="21"/>
        </w:rPr>
        <w:t>Work proceeded from component review and target-specific firmware through propeller-off checks, calibrated controls and sensors, short flight tests, read-only QGC audits, and log-backed diagnosis. Network and payload work kept change records and recovery paths. Automation was frozen by version and hash, tested first with static and mocked checks, then exercised in fresh SITL instances with DataFlash, MAVLink, telemetry, and independent-oracle evidence.</w:t>
      </w:r>
    </w:p>
    <w:p w14:paraId="2D133F70" w14:textId="77777777" w:rsidR="00503524" w:rsidRDefault="00FA3A69">
      <w:pPr>
        <w:pBdr>
          <w:bottom w:val="single" w:sz="6" w:space="2" w:color="9C7A2A"/>
        </w:pBdr>
        <w:spacing w:before="180" w:after="60"/>
      </w:pPr>
      <w:r>
        <w:rPr>
          <w:rFonts w:ascii="Calibri" w:eastAsia="Calibri" w:hAnsi="Calibri" w:cs="Calibri"/>
          <w:b/>
          <w:bCs/>
          <w:color w:val="3A4019"/>
          <w:sz w:val="21"/>
          <w:szCs w:val="21"/>
        </w:rPr>
        <w:t>RESULTS</w:t>
      </w:r>
    </w:p>
    <w:p w14:paraId="56758839" w14:textId="77777777" w:rsidR="00503524" w:rsidRDefault="00FA3A69">
      <w:pPr>
        <w:spacing w:after="30" w:line="240" w:lineRule="auto"/>
      </w:pPr>
      <w:r>
        <w:rPr>
          <w:rFonts w:ascii="Georgia" w:eastAsia="Georgia" w:hAnsi="Georgia" w:cs="Georgia"/>
          <w:color w:val="2B2B24"/>
          <w:sz w:val="18"/>
          <w:szCs w:val="21"/>
        </w:rPr>
        <w:t>Confirmed outcomes include calibrated RC and corrected pitch direction; outdoor compass calibration; motor order and direction checks; radio-loss detection; working GPS; corrected battery sensing on pin 13 with BATT_VOLT_MULT 11.18 matching a 15.63 V meter reading; a successful hover; QGC on Windows and Galaxy with a filtered MAVLink workflow; a validated 5 m mission artifact and live parameter snapshots; RN08 OSD configuration; mesh 666 connectivity; and live 720p30 H.264 camera video in QGC. The safety arbiter passed 58 of 58 SITL checks. Nearest-waypoint-ahead V3.3 passed 51 deterministic cases with zero failures, matched all 120 randomized geometry cases, and retained three explicitly inconclusive timing paths.</w:t>
      </w:r>
    </w:p>
    <w:p w14:paraId="75F7D90E" w14:textId="77777777" w:rsidR="00503524" w:rsidRDefault="00FA3A69">
      <w:pPr>
        <w:pBdr>
          <w:bottom w:val="single" w:sz="6" w:space="2" w:color="9C7A2A"/>
        </w:pBdr>
        <w:spacing w:before="180" w:after="60"/>
      </w:pPr>
      <w:r>
        <w:rPr>
          <w:rFonts w:ascii="Calibri" w:eastAsia="Calibri" w:hAnsi="Calibri" w:cs="Calibri"/>
          <w:b/>
          <w:bCs/>
          <w:color w:val="3A4019"/>
          <w:sz w:val="21"/>
          <w:szCs w:val="21"/>
        </w:rPr>
        <w:t>CHALLENGES &amp; LESSONS LEARNED</w:t>
      </w:r>
    </w:p>
    <w:p w14:paraId="404EF2EF" w14:textId="77777777" w:rsidR="00503524" w:rsidRDefault="00FA3A69">
      <w:pPr>
        <w:pStyle w:val="ListParagraph"/>
        <w:numPr>
          <w:ilvl w:val="0"/>
          <w:numId w:val="2"/>
        </w:numPr>
        <w:spacing w:after="30" w:line="240" w:lineRule="auto"/>
      </w:pPr>
      <w:r>
        <w:rPr>
          <w:rFonts w:ascii="Georgia" w:eastAsia="Georgia" w:hAnsi="Georgia" w:cs="Georgia"/>
          <w:color w:val="2B2B24"/>
          <w:sz w:val="18"/>
        </w:rPr>
        <w:t>Battery monitoring was unusually difficult: source and published ADC mappings conflicted, then a 10 percent scale error caused a premature autonomous landing. A simultaneous meter comparison produced the final calibration.</w:t>
      </w:r>
    </w:p>
    <w:p w14:paraId="2FCA969D" w14:textId="77777777" w:rsidR="00503524" w:rsidRDefault="00FA3A69">
      <w:pPr>
        <w:pStyle w:val="ListParagraph"/>
        <w:numPr>
          <w:ilvl w:val="0"/>
          <w:numId w:val="2"/>
        </w:numPr>
        <w:spacing w:after="30" w:line="240" w:lineRule="auto"/>
      </w:pPr>
      <w:r>
        <w:rPr>
          <w:rFonts w:ascii="Georgia" w:eastAsia="Georgia" w:hAnsi="Georgia" w:cs="Georgia"/>
          <w:color w:val="2B2B24"/>
          <w:sz w:val="18"/>
        </w:rPr>
        <w:t>RoboticsLan client isolation blocked peer access, Windows hotspot DHCP repeatedly failed, and the Mini USB-Ethernet path later lost physical link. Static addressing and a direct Pi-to-handheld workaround restored video progress; the Mini path remains a swap-test or support issue.</w:t>
      </w:r>
    </w:p>
    <w:p w14:paraId="2FCA969D" w14:textId="77777777" w:rsidR="00503524" w:rsidRDefault="00FA3A69">
      <w:pPr>
        <w:pStyle w:val="ListParagraph"/>
        <w:numPr>
          <w:ilvl w:val="0"/>
          <w:numId w:val="2"/>
        </w:numPr>
        <w:spacing w:after="30" w:line="240" w:lineRule="auto"/>
      </w:pPr>
      <w:r>
        <w:rPr>
          <w:rFonts w:ascii="Georgia" w:eastAsia="Georgia" w:hAnsi="Georgia" w:cs="Georgia"/>
          <w:color w:val="2B2B24"/>
          <w:sz w:val="18"/>
        </w:rPr>
        <w:t>Earlier waypoint versions could race AUTO entry or lose persistent speed; V3.2 showed a speed-order failure and an invalid index-zero rollback claim. V3.3 corrected both but retains a documented non-atomic setter race and three uninjectable timing cases.</w:t>
      </w:r>
    </w:p>
    <w:p w14:paraId="2FCA969D" w14:textId="77777777" w:rsidR="00503524" w:rsidRDefault="00FA3A69">
      <w:pPr>
        <w:pStyle w:val="ListParagraph"/>
        <w:numPr>
          <w:ilvl w:val="0"/>
          <w:numId w:val="2"/>
        </w:numPr>
        <w:spacing w:after="30" w:line="240" w:lineRule="auto"/>
      </w:pPr>
      <w:r>
        <w:rPr>
          <w:rFonts w:ascii="Georgia" w:eastAsia="Georgia" w:hAnsi="Georgia" w:cs="Georgia"/>
          <w:color w:val="2B2B24"/>
          <w:sz w:val="18"/>
        </w:rPr>
        <w:t>Open risks remain: the disarmed motor twitch has no recorded resolution, high bench magnetic field was observed, current sensing is absent, and the safety arbiter and waypoint-entry script have not completed real-aircraft acceptance testing.</w:t>
      </w:r>
    </w:p>
    <w:p w14:paraId="0A00CC12" w14:textId="77777777" w:rsidR="00503524" w:rsidRDefault="00FA3A69">
      <w:pPr>
        <w:pBdr>
          <w:bottom w:val="single" w:sz="6" w:space="2" w:color="9C7A2A"/>
        </w:pBdr>
        <w:spacing w:before="180" w:after="60"/>
      </w:pPr>
      <w:r>
        <w:rPr>
          <w:rFonts w:ascii="Calibri" w:eastAsia="Calibri" w:hAnsi="Calibri" w:cs="Calibri"/>
          <w:b/>
          <w:bCs/>
          <w:color w:val="3A4019"/>
          <w:sz w:val="21"/>
          <w:szCs w:val="21"/>
        </w:rPr>
        <w:t>CONCLUSION</w:t>
      </w:r>
    </w:p>
    <w:p w14:paraId="5BA18982" w14:textId="77777777" w:rsidR="00503524" w:rsidRDefault="00FA3A69">
      <w:pPr>
        <w:spacing w:after="30" w:line="240" w:lineRule="auto"/>
      </w:pPr>
      <w:r>
        <w:rPr>
          <w:rFonts w:ascii="Georgia" w:eastAsia="Georgia" w:hAnsi="Georgia" w:cs="Georgia"/>
          <w:color w:val="2B2B24"/>
          <w:sz w:val="18"/>
          <w:szCs w:val="21"/>
        </w:rPr>
        <w:t>The project has achieved a capable flying prototype and a documented baseline for flight, missions, communications, video, and simulated automation. Next, resolve the motor and magnetic concerns, verify power behavior, bench-test the safety wiring and QGC actions, and move V3.3 through endurance SITL before any separately approved low-risk aircraft test.</w:t>
      </w:r>
      <w:proofErr w:type="gramStart"/>
      <w:proofErr w:type="gramEnd"/>
    </w:p>
    <w:sectPr w:rsidR="00503524">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5BC"/>
    <w:multiLevelType w:val="hybridMultilevel"/>
    <w:tmpl w:val="17427E00"/>
    <w:lvl w:ilvl="0" w:tplc="4A4A869C">
      <w:start w:val="1"/>
      <w:numFmt w:val="bullet"/>
      <w:lvlText w:val="●"/>
      <w:lvlJc w:val="left"/>
      <w:pPr>
        <w:ind w:left="720" w:hanging="360"/>
      </w:pPr>
    </w:lvl>
    <w:lvl w:ilvl="1" w:tplc="AEACACB8">
      <w:start w:val="1"/>
      <w:numFmt w:val="bullet"/>
      <w:lvlText w:val="○"/>
      <w:lvlJc w:val="left"/>
      <w:pPr>
        <w:ind w:left="1440" w:hanging="360"/>
      </w:pPr>
    </w:lvl>
    <w:lvl w:ilvl="2" w:tplc="A4C0D0E4">
      <w:start w:val="1"/>
      <w:numFmt w:val="bullet"/>
      <w:lvlText w:val="■"/>
      <w:lvlJc w:val="left"/>
      <w:pPr>
        <w:ind w:left="2160" w:hanging="360"/>
      </w:pPr>
    </w:lvl>
    <w:lvl w:ilvl="3" w:tplc="524A6E2E">
      <w:start w:val="1"/>
      <w:numFmt w:val="bullet"/>
      <w:lvlText w:val="●"/>
      <w:lvlJc w:val="left"/>
      <w:pPr>
        <w:ind w:left="2880" w:hanging="360"/>
      </w:pPr>
    </w:lvl>
    <w:lvl w:ilvl="4" w:tplc="612EBF14">
      <w:start w:val="1"/>
      <w:numFmt w:val="bullet"/>
      <w:lvlText w:val="○"/>
      <w:lvlJc w:val="left"/>
      <w:pPr>
        <w:ind w:left="3600" w:hanging="360"/>
      </w:pPr>
    </w:lvl>
    <w:lvl w:ilvl="5" w:tplc="09988DDA">
      <w:start w:val="1"/>
      <w:numFmt w:val="bullet"/>
      <w:lvlText w:val="■"/>
      <w:lvlJc w:val="left"/>
      <w:pPr>
        <w:ind w:left="4320" w:hanging="360"/>
      </w:pPr>
    </w:lvl>
    <w:lvl w:ilvl="6" w:tplc="7F102284">
      <w:start w:val="1"/>
      <w:numFmt w:val="bullet"/>
      <w:lvlText w:val="●"/>
      <w:lvlJc w:val="left"/>
      <w:pPr>
        <w:ind w:left="5040" w:hanging="360"/>
      </w:pPr>
    </w:lvl>
    <w:lvl w:ilvl="7" w:tplc="7D3CD19C">
      <w:start w:val="1"/>
      <w:numFmt w:val="bullet"/>
      <w:lvlText w:val="●"/>
      <w:lvlJc w:val="left"/>
      <w:pPr>
        <w:ind w:left="5760" w:hanging="360"/>
      </w:pPr>
    </w:lvl>
    <w:lvl w:ilvl="8" w:tplc="DD2A4BBE">
      <w:start w:val="1"/>
      <w:numFmt w:val="bullet"/>
      <w:lvlText w:val="●"/>
      <w:lvlJc w:val="left"/>
      <w:pPr>
        <w:ind w:left="6480" w:hanging="360"/>
      </w:pPr>
    </w:lvl>
  </w:abstractNum>
  <w:abstractNum w:abstractNumId="1" w15:restartNumberingAfterBreak="0">
    <w:nsid w:val="6F833F4A"/>
    <w:multiLevelType w:val="hybridMultilevel"/>
    <w:tmpl w:val="908CCCAE"/>
    <w:lvl w:ilvl="0" w:tplc="E41EFF08">
      <w:start w:val="1"/>
      <w:numFmt w:val="bullet"/>
      <w:lvlText w:val="•"/>
      <w:lvlJc w:val="left"/>
      <w:pPr>
        <w:ind w:left="360" w:hanging="260"/>
      </w:pPr>
    </w:lvl>
    <w:lvl w:ilvl="1" w:tplc="85082790">
      <w:numFmt w:val="decimal"/>
      <w:lvlText w:val=""/>
      <w:lvlJc w:val="left"/>
    </w:lvl>
    <w:lvl w:ilvl="2" w:tplc="2F58D362">
      <w:numFmt w:val="decimal"/>
      <w:lvlText w:val=""/>
      <w:lvlJc w:val="left"/>
    </w:lvl>
    <w:lvl w:ilvl="3" w:tplc="FC005046">
      <w:numFmt w:val="decimal"/>
      <w:lvlText w:val=""/>
      <w:lvlJc w:val="left"/>
    </w:lvl>
    <w:lvl w:ilvl="4" w:tplc="FDDA47FC">
      <w:numFmt w:val="decimal"/>
      <w:lvlText w:val=""/>
      <w:lvlJc w:val="left"/>
    </w:lvl>
    <w:lvl w:ilvl="5" w:tplc="FCAC085A">
      <w:numFmt w:val="decimal"/>
      <w:lvlText w:val=""/>
      <w:lvlJc w:val="left"/>
    </w:lvl>
    <w:lvl w:ilvl="6" w:tplc="CAD6083A">
      <w:numFmt w:val="decimal"/>
      <w:lvlText w:val=""/>
      <w:lvlJc w:val="left"/>
    </w:lvl>
    <w:lvl w:ilvl="7" w:tplc="0FF4627C">
      <w:numFmt w:val="decimal"/>
      <w:lvlText w:val=""/>
      <w:lvlJc w:val="left"/>
    </w:lvl>
    <w:lvl w:ilvl="8" w:tplc="B1569CAE">
      <w:numFmt w:val="decimal"/>
      <w:lvlText w:val=""/>
      <w:lvlJc w:val="left"/>
    </w:lvl>
  </w:abstractNum>
  <w:num w:numId="1" w16cid:durableId="135345716">
    <w:abstractNumId w:val="0"/>
    <w:lvlOverride w:ilvl="0">
      <w:startOverride w:val="1"/>
    </w:lvlOverride>
  </w:num>
  <w:num w:numId="2" w16cid:durableId="20942345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24"/>
    <w:rsid w:val="00363D85"/>
    <w:rsid w:val="00503524"/>
    <w:rsid w:val="007A0927"/>
    <w:rsid w:val="00FA3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330DD"/>
  <w15:docId w15:val="{BDD739C5-792F-4987-9C91-CB57F0F7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 Team</dc:creator>
  <cp:lastModifiedBy>Ryan VanDyke</cp:lastModifiedBy>
  <cp:revision>2</cp:revision>
  <dcterms:created xsi:type="dcterms:W3CDTF">2026-08-13T16:21:00Z</dcterms:created>
  <dcterms:modified xsi:type="dcterms:W3CDTF">2026-08-13T16:21:00Z</dcterms:modified>
  <dc:title>10 Inch Quad Project Summary</dc:title>
  <dc:subject>Project achievements, complications, and failed attempts</dc:subject>
  <dc:description>Created from the retained Project Summary template.</dc:description>
</cp:coreProperties>
</file>