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913CE6" w:rsidP="7A8DC779" w:rsidRDefault="0F913CE6" w14:paraId="2E102388" w14:textId="7F2E9EE3">
      <w:pPr>
        <w:jc w:val="center"/>
        <w:rPr>
          <w:b w:val="0"/>
          <w:bCs w:val="0"/>
          <w:sz w:val="56"/>
          <w:szCs w:val="56"/>
          <w:u w:val="none"/>
        </w:rPr>
      </w:pPr>
      <w:r w:rsidRPr="7A8DC779" w:rsidR="0F913CE6">
        <w:rPr>
          <w:b w:val="0"/>
          <w:bCs w:val="0"/>
          <w:sz w:val="56"/>
          <w:szCs w:val="56"/>
          <w:u w:val="none"/>
        </w:rPr>
        <w:t>Scoring Impact of Kicking or Receiving Each Half’s Opening Kickoff</w:t>
      </w:r>
    </w:p>
    <w:p w:rsidR="1AA38DEC" w:rsidP="7A8DC779" w:rsidRDefault="1AA38DEC" w14:paraId="38CE44AC" w14:textId="2FBB09E1">
      <w:pPr>
        <w:pStyle w:val="Normal"/>
        <w:jc w:val="center"/>
        <w:rPr>
          <w:b w:val="0"/>
          <w:bCs w:val="0"/>
          <w:sz w:val="56"/>
          <w:szCs w:val="56"/>
          <w:u w:val="none"/>
        </w:rPr>
      </w:pPr>
      <w:r w:rsidRPr="7A8DC779" w:rsidR="1AA38DEC">
        <w:rPr>
          <w:b w:val="0"/>
          <w:bCs w:val="0"/>
          <w:sz w:val="40"/>
          <w:szCs w:val="40"/>
          <w:u w:val="none"/>
        </w:rPr>
        <w:t xml:space="preserve">Ryan Bach, Tanner Luce, Nick </w:t>
      </w:r>
      <w:proofErr w:type="spellStart"/>
      <w:r w:rsidRPr="7A8DC779" w:rsidR="1AA38DEC">
        <w:rPr>
          <w:b w:val="0"/>
          <w:bCs w:val="0"/>
          <w:sz w:val="40"/>
          <w:szCs w:val="40"/>
          <w:u w:val="none"/>
        </w:rPr>
        <w:t>Nolkemper</w:t>
      </w:r>
      <w:proofErr w:type="spellEnd"/>
      <w:r w:rsidRPr="7A8DC779" w:rsidR="1AA38DEC">
        <w:rPr>
          <w:b w:val="0"/>
          <w:bCs w:val="0"/>
          <w:sz w:val="40"/>
          <w:szCs w:val="40"/>
          <w:u w:val="none"/>
        </w:rPr>
        <w:t>, Will Swanson</w:t>
      </w:r>
    </w:p>
    <w:p w:rsidR="7A8DC779" w:rsidP="7A8DC779" w:rsidRDefault="7A8DC779" w14:paraId="388BB31B" w14:textId="713F2156">
      <w:pPr>
        <w:pStyle w:val="Normal"/>
        <w:jc w:val="left"/>
        <w:rPr>
          <w:b w:val="0"/>
          <w:bCs w:val="0"/>
          <w:sz w:val="22"/>
          <w:szCs w:val="22"/>
          <w:u w:val="none"/>
        </w:rPr>
      </w:pPr>
    </w:p>
    <w:p w:rsidR="1AA38DEC" w:rsidP="7A8DC779" w:rsidRDefault="1AA38DEC" w14:paraId="013A3EA6" w14:textId="6B266974">
      <w:pPr>
        <w:pStyle w:val="Normal"/>
        <w:jc w:val="left"/>
        <w:rPr>
          <w:b w:val="0"/>
          <w:bCs w:val="0"/>
          <w:sz w:val="40"/>
          <w:szCs w:val="40"/>
          <w:u w:val="none"/>
        </w:rPr>
      </w:pPr>
      <w:r w:rsidRPr="7A8DC779" w:rsidR="1AA38DEC">
        <w:rPr>
          <w:b w:val="0"/>
          <w:bCs w:val="0"/>
          <w:sz w:val="22"/>
          <w:szCs w:val="22"/>
          <w:u w:val="none"/>
        </w:rPr>
        <w:t>EXECUTIVE SUMMARY:</w:t>
      </w:r>
    </w:p>
    <w:p w:rsidR="1AA38DEC" w:rsidP="7A8DC779" w:rsidRDefault="1AA38DEC" w14:paraId="26D39FBE" w14:textId="0C390566">
      <w:pPr>
        <w:pStyle w:val="Normal"/>
        <w:jc w:val="left"/>
        <w:rPr>
          <w:b w:val="0"/>
          <w:bCs w:val="0"/>
          <w:sz w:val="22"/>
          <w:szCs w:val="22"/>
          <w:u w:val="none"/>
        </w:rPr>
      </w:pPr>
      <w:r w:rsidRPr="7A8DC779" w:rsidR="1AA38DEC">
        <w:rPr>
          <w:b w:val="0"/>
          <w:bCs w:val="0"/>
          <w:sz w:val="22"/>
          <w:szCs w:val="22"/>
          <w:u w:val="none"/>
        </w:rPr>
        <w:t>We recommend always electing to receive the opening kickoff as K-State scores nearly 25% more frequently on K-State's first drive of the game.</w:t>
      </w:r>
      <w:r w:rsidRPr="7A8DC779" w:rsidR="25EB54AC">
        <w:rPr>
          <w:b w:val="0"/>
          <w:bCs w:val="0"/>
          <w:sz w:val="22"/>
          <w:szCs w:val="22"/>
          <w:u w:val="none"/>
        </w:rPr>
        <w:t xml:space="preserve"> They also have an average of 3.42 points scored, which is 75% higher than all other situations, and an average ending distance of 23.2 yards to goal, nearly 20 yards cl</w:t>
      </w:r>
      <w:r w:rsidRPr="7A8DC779" w:rsidR="17ED584F">
        <w:rPr>
          <w:b w:val="0"/>
          <w:bCs w:val="0"/>
          <w:sz w:val="22"/>
          <w:szCs w:val="22"/>
          <w:u w:val="none"/>
        </w:rPr>
        <w:t>oser than all other situations.</w:t>
      </w:r>
    </w:p>
    <w:p w:rsidR="7A8DC779" w:rsidRDefault="7A8DC779" w14:paraId="254A05E8" w14:textId="1646619D">
      <w:r>
        <w:br w:type="page"/>
      </w:r>
    </w:p>
    <w:p w:rsidR="243F0BCA" w:rsidP="7A8DC779" w:rsidRDefault="243F0BCA" w14:paraId="571C72C8" w14:textId="0B738A43">
      <w:pPr>
        <w:pStyle w:val="Normal"/>
        <w:jc w:val="left"/>
        <w:rPr>
          <w:b w:val="1"/>
          <w:bCs w:val="1"/>
          <w:u w:val="single"/>
        </w:rPr>
      </w:pPr>
      <w:r w:rsidRPr="7A8DC779" w:rsidR="243F0BCA">
        <w:rPr>
          <w:b w:val="1"/>
          <w:bCs w:val="1"/>
          <w:u w:val="single"/>
        </w:rPr>
        <w:t>OBJECTIVE</w:t>
      </w:r>
      <w:r w:rsidRPr="7A8DC779" w:rsidR="4A6EF446">
        <w:rPr>
          <w:b w:val="1"/>
          <w:bCs w:val="1"/>
          <w:u w:val="single"/>
        </w:rPr>
        <w:t>:</w:t>
      </w:r>
    </w:p>
    <w:p w:rsidR="3AB08820" w:rsidP="7A8DC779" w:rsidRDefault="3AB08820" w14:paraId="4694A1D1" w14:textId="0BBE748D">
      <w:pPr>
        <w:pStyle w:val="Normal"/>
        <w:jc w:val="left"/>
        <w:rPr>
          <w:b w:val="0"/>
          <w:bCs w:val="0"/>
          <w:u w:val="none"/>
        </w:rPr>
      </w:pPr>
      <w:r w:rsidR="3AB08820">
        <w:rPr>
          <w:b w:val="0"/>
          <w:bCs w:val="0"/>
          <w:u w:val="none"/>
        </w:rPr>
        <w:t xml:space="preserve">Determine </w:t>
      </w:r>
      <w:r w:rsidR="243F0BCA">
        <w:rPr>
          <w:b w:val="0"/>
          <w:bCs w:val="0"/>
          <w:u w:val="none"/>
        </w:rPr>
        <w:t xml:space="preserve">how either receiving or deferring the opening kickoff </w:t>
      </w:r>
      <w:r w:rsidR="3F8C4837">
        <w:rPr>
          <w:b w:val="0"/>
          <w:bCs w:val="0"/>
          <w:u w:val="none"/>
        </w:rPr>
        <w:t>affects the success of Kansas State’s opening drive in each half</w:t>
      </w:r>
      <w:r w:rsidR="56ECE63E">
        <w:rPr>
          <w:b w:val="0"/>
          <w:bCs w:val="0"/>
          <w:u w:val="none"/>
        </w:rPr>
        <w:t xml:space="preserve"> using data from the 2019-2021 seasons.</w:t>
      </w:r>
    </w:p>
    <w:p w:rsidR="7A8DC779" w:rsidP="7A8DC779" w:rsidRDefault="7A8DC779" w14:paraId="4B13EEE2" w14:textId="7A6A58CC">
      <w:pPr>
        <w:pStyle w:val="Normal"/>
        <w:jc w:val="left"/>
        <w:rPr>
          <w:b w:val="0"/>
          <w:bCs w:val="0"/>
          <w:u w:val="none"/>
        </w:rPr>
      </w:pPr>
    </w:p>
    <w:p w:rsidR="0A95BD53" w:rsidP="7A8DC779" w:rsidRDefault="0A95BD53" w14:paraId="0048A277" w14:textId="22A6496A">
      <w:pPr>
        <w:pStyle w:val="Normal"/>
        <w:jc w:val="left"/>
        <w:rPr>
          <w:b w:val="1"/>
          <w:bCs w:val="1"/>
          <w:u w:val="single"/>
        </w:rPr>
      </w:pPr>
      <w:r w:rsidRPr="7A8DC779" w:rsidR="0A95BD53">
        <w:rPr>
          <w:b w:val="1"/>
          <w:bCs w:val="1"/>
          <w:u w:val="single"/>
        </w:rPr>
        <w:t>DATA:</w:t>
      </w:r>
    </w:p>
    <w:p w:rsidR="7A91AAF8" w:rsidP="7A8DC779" w:rsidRDefault="7A91AAF8" w14:paraId="234C6D18" w14:textId="207B9838">
      <w:pPr>
        <w:pStyle w:val="Normal"/>
        <w:jc w:val="left"/>
        <w:rPr>
          <w:b w:val="0"/>
          <w:bCs w:val="0"/>
          <w:u w:val="none"/>
        </w:rPr>
      </w:pPr>
      <w:r w:rsidR="7A91AAF8">
        <w:rPr>
          <w:b w:val="0"/>
          <w:bCs w:val="0"/>
          <w:u w:val="none"/>
        </w:rPr>
        <w:t>We collected data from the 31 games played, which can be classified by the result of the coin flip</w:t>
      </w:r>
      <w:r w:rsidR="35D96FFE">
        <w:rPr>
          <w:b w:val="0"/>
          <w:bCs w:val="0"/>
          <w:u w:val="none"/>
        </w:rPr>
        <w:t xml:space="preserve">. Conference games are </w:t>
      </w:r>
      <w:proofErr w:type="gramStart"/>
      <w:r w:rsidR="35D96FFE">
        <w:rPr>
          <w:b w:val="0"/>
          <w:bCs w:val="0"/>
          <w:u w:val="none"/>
        </w:rPr>
        <w:t>bolded</w:t>
      </w:r>
      <w:proofErr w:type="gramEnd"/>
      <w:r w:rsidR="35D96FFE">
        <w:rPr>
          <w:b w:val="0"/>
          <w:bCs w:val="0"/>
          <w:u w:val="none"/>
        </w:rPr>
        <w:t>:</w:t>
      </w:r>
    </w:p>
    <w:p w:rsidR="6847A360" w:rsidP="7A8DC779" w:rsidRDefault="6847A360" w14:paraId="79B9B528" w14:textId="696495BA">
      <w:pPr>
        <w:pStyle w:val="Normal"/>
        <w:jc w:val="center"/>
        <w:rPr>
          <w:b w:val="0"/>
          <w:bCs w:val="0"/>
          <w:u w:val="none"/>
        </w:rPr>
      </w:pPr>
      <w:r w:rsidRPr="7A8DC779" w:rsidR="6847A360">
        <w:rPr>
          <w:b w:val="0"/>
          <w:bCs w:val="0"/>
          <w:sz w:val="16"/>
          <w:szCs w:val="16"/>
          <w:u w:val="none"/>
        </w:rPr>
        <w:t>Table 1: Games Analyzed</w:t>
      </w:r>
    </w:p>
    <w:tbl>
      <w:tblPr>
        <w:tblStyle w:val="TableGrid"/>
        <w:tblW w:w="0" w:type="auto"/>
        <w:tblLayout w:type="fixed"/>
        <w:tblLook w:val="06A0" w:firstRow="1" w:lastRow="0" w:firstColumn="1" w:lastColumn="0" w:noHBand="1" w:noVBand="1"/>
      </w:tblPr>
      <w:tblGrid>
        <w:gridCol w:w="825"/>
        <w:gridCol w:w="3675"/>
        <w:gridCol w:w="4860"/>
      </w:tblGrid>
      <w:tr w:rsidR="7A8DC779" w:rsidTr="47C1863C" w14:paraId="3797A783">
        <w:tc>
          <w:tcPr>
            <w:tcW w:w="825" w:type="dxa"/>
            <w:tcMar/>
            <w:vAlign w:val="center"/>
          </w:tcPr>
          <w:p w:rsidR="3AA57D4D" w:rsidP="7A8DC779" w:rsidRDefault="3AA57D4D" w14:paraId="2F036E8F" w14:textId="4EB9FB70">
            <w:pPr>
              <w:pStyle w:val="Normal"/>
              <w:jc w:val="left"/>
              <w:rPr>
                <w:b w:val="1"/>
                <w:bCs w:val="1"/>
                <w:u w:val="none"/>
              </w:rPr>
            </w:pPr>
            <w:r w:rsidRPr="7A8DC779" w:rsidR="3AA57D4D">
              <w:rPr>
                <w:b w:val="1"/>
                <w:bCs w:val="1"/>
                <w:u w:val="none"/>
              </w:rPr>
              <w:t>Year</w:t>
            </w:r>
          </w:p>
        </w:tc>
        <w:tc>
          <w:tcPr>
            <w:tcW w:w="3675" w:type="dxa"/>
            <w:tcMar/>
            <w:vAlign w:val="center"/>
          </w:tcPr>
          <w:p w:rsidR="3AA57D4D" w:rsidP="7A8DC779" w:rsidRDefault="3AA57D4D" w14:paraId="35469A10" w14:textId="6DF11BF3">
            <w:pPr>
              <w:pStyle w:val="Normal"/>
              <w:jc w:val="left"/>
              <w:rPr>
                <w:b w:val="1"/>
                <w:bCs w:val="1"/>
                <w:u w:val="none"/>
              </w:rPr>
            </w:pPr>
            <w:r w:rsidRPr="7A8DC779" w:rsidR="3AA57D4D">
              <w:rPr>
                <w:b w:val="1"/>
                <w:bCs w:val="1"/>
                <w:u w:val="none"/>
              </w:rPr>
              <w:t>Receive 1</w:t>
            </w:r>
            <w:r w:rsidRPr="7A8DC779" w:rsidR="3AA57D4D">
              <w:rPr>
                <w:b w:val="1"/>
                <w:bCs w:val="1"/>
                <w:u w:val="none"/>
                <w:vertAlign w:val="superscript"/>
              </w:rPr>
              <w:t>st</w:t>
            </w:r>
            <w:r w:rsidRPr="7A8DC779" w:rsidR="3AA57D4D">
              <w:rPr>
                <w:b w:val="1"/>
                <w:bCs w:val="1"/>
                <w:u w:val="none"/>
              </w:rPr>
              <w:t xml:space="preserve"> half / Kick 2</w:t>
            </w:r>
            <w:r w:rsidRPr="7A8DC779" w:rsidR="3AA57D4D">
              <w:rPr>
                <w:b w:val="1"/>
                <w:bCs w:val="1"/>
                <w:u w:val="none"/>
                <w:vertAlign w:val="superscript"/>
              </w:rPr>
              <w:t>nd</w:t>
            </w:r>
            <w:r w:rsidRPr="7A8DC779" w:rsidR="3AA57D4D">
              <w:rPr>
                <w:b w:val="1"/>
                <w:bCs w:val="1"/>
                <w:u w:val="none"/>
              </w:rPr>
              <w:t xml:space="preserve"> half</w:t>
            </w:r>
          </w:p>
        </w:tc>
        <w:tc>
          <w:tcPr>
            <w:tcW w:w="4860" w:type="dxa"/>
            <w:tcMar/>
            <w:vAlign w:val="center"/>
          </w:tcPr>
          <w:p w:rsidR="3AA57D4D" w:rsidP="7A8DC779" w:rsidRDefault="3AA57D4D" w14:paraId="03D96F53" w14:textId="74ADFB75">
            <w:pPr>
              <w:pStyle w:val="Normal"/>
              <w:jc w:val="left"/>
              <w:rPr>
                <w:b w:val="1"/>
                <w:bCs w:val="1"/>
                <w:u w:val="none"/>
              </w:rPr>
            </w:pPr>
            <w:r w:rsidRPr="7A8DC779" w:rsidR="3AA57D4D">
              <w:rPr>
                <w:b w:val="1"/>
                <w:bCs w:val="1"/>
                <w:u w:val="none"/>
              </w:rPr>
              <w:t>Kick 1</w:t>
            </w:r>
            <w:r w:rsidRPr="7A8DC779" w:rsidR="3AA57D4D">
              <w:rPr>
                <w:b w:val="1"/>
                <w:bCs w:val="1"/>
                <w:u w:val="none"/>
                <w:vertAlign w:val="superscript"/>
              </w:rPr>
              <w:t>st</w:t>
            </w:r>
            <w:r w:rsidRPr="7A8DC779" w:rsidR="3AA57D4D">
              <w:rPr>
                <w:b w:val="1"/>
                <w:bCs w:val="1"/>
                <w:u w:val="none"/>
              </w:rPr>
              <w:t xml:space="preserve"> half / Receive 2</w:t>
            </w:r>
            <w:r w:rsidRPr="7A8DC779" w:rsidR="3AA57D4D">
              <w:rPr>
                <w:b w:val="1"/>
                <w:bCs w:val="1"/>
                <w:u w:val="none"/>
                <w:vertAlign w:val="superscript"/>
              </w:rPr>
              <w:t>nd</w:t>
            </w:r>
            <w:r w:rsidRPr="7A8DC779" w:rsidR="3AA57D4D">
              <w:rPr>
                <w:b w:val="1"/>
                <w:bCs w:val="1"/>
                <w:u w:val="none"/>
              </w:rPr>
              <w:t xml:space="preserve"> half</w:t>
            </w:r>
          </w:p>
        </w:tc>
      </w:tr>
      <w:tr w:rsidR="7A8DC779" w:rsidTr="47C1863C" w14:paraId="40A6524F">
        <w:tc>
          <w:tcPr>
            <w:tcW w:w="825" w:type="dxa"/>
            <w:tcMar/>
            <w:vAlign w:val="center"/>
          </w:tcPr>
          <w:p w:rsidR="3AA57D4D" w:rsidP="7A8DC779" w:rsidRDefault="3AA57D4D" w14:paraId="64DE427C" w14:textId="31194B17">
            <w:pPr>
              <w:pStyle w:val="Normal"/>
              <w:jc w:val="center"/>
              <w:rPr>
                <w:b w:val="0"/>
                <w:bCs w:val="0"/>
                <w:u w:val="none"/>
              </w:rPr>
            </w:pPr>
            <w:r w:rsidR="3AA57D4D">
              <w:rPr>
                <w:b w:val="0"/>
                <w:bCs w:val="0"/>
                <w:u w:val="none"/>
              </w:rPr>
              <w:t>2019</w:t>
            </w:r>
          </w:p>
        </w:tc>
        <w:tc>
          <w:tcPr>
            <w:tcW w:w="3675" w:type="dxa"/>
            <w:tcMar/>
            <w:vAlign w:val="center"/>
          </w:tcPr>
          <w:p w:rsidR="24B9C8E9" w:rsidP="7A8DC779" w:rsidRDefault="24B9C8E9" w14:paraId="4B804B26" w14:textId="2FEEF697">
            <w:pPr>
              <w:pStyle w:val="Normal"/>
              <w:jc w:val="center"/>
              <w:rPr>
                <w:b w:val="0"/>
                <w:bCs w:val="0"/>
                <w:u w:val="none"/>
              </w:rPr>
            </w:pPr>
            <w:r w:rsidR="24B9C8E9">
              <w:rPr>
                <w:b w:val="0"/>
                <w:bCs w:val="0"/>
                <w:u w:val="none"/>
              </w:rPr>
              <w:t>Nicholls</w:t>
            </w:r>
          </w:p>
          <w:p w:rsidR="24B9C8E9" w:rsidP="7A8DC779" w:rsidRDefault="24B9C8E9" w14:paraId="55D6E8CA" w14:textId="66AAF488">
            <w:pPr>
              <w:pStyle w:val="Normal"/>
              <w:jc w:val="center"/>
              <w:rPr>
                <w:b w:val="0"/>
                <w:bCs w:val="0"/>
                <w:u w:val="none"/>
              </w:rPr>
            </w:pPr>
            <w:r w:rsidR="24B9C8E9">
              <w:rPr>
                <w:b w:val="0"/>
                <w:bCs w:val="0"/>
                <w:u w:val="none"/>
              </w:rPr>
              <w:t>Bowling Green</w:t>
            </w:r>
          </w:p>
          <w:p w:rsidR="24B9C8E9" w:rsidP="7A8DC779" w:rsidRDefault="24B9C8E9" w14:paraId="6E6C40D4" w14:textId="5A818EB8">
            <w:pPr>
              <w:pStyle w:val="Normal"/>
              <w:jc w:val="center"/>
              <w:rPr>
                <w:b w:val="0"/>
                <w:bCs w:val="0"/>
                <w:u w:val="none"/>
              </w:rPr>
            </w:pPr>
            <w:r w:rsidRPr="7A8DC779" w:rsidR="24B9C8E9">
              <w:rPr>
                <w:b w:val="1"/>
                <w:bCs w:val="1"/>
                <w:u w:val="none"/>
              </w:rPr>
              <w:t>Texas</w:t>
            </w:r>
          </w:p>
          <w:p w:rsidR="24B9C8E9" w:rsidP="7A8DC779" w:rsidRDefault="24B9C8E9" w14:paraId="4177F04D" w14:textId="5AE0CA35">
            <w:pPr>
              <w:pStyle w:val="Normal"/>
              <w:jc w:val="center"/>
              <w:rPr>
                <w:b w:val="1"/>
                <w:bCs w:val="1"/>
                <w:u w:val="none"/>
              </w:rPr>
            </w:pPr>
            <w:r w:rsidRPr="7A8DC779" w:rsidR="24B9C8E9">
              <w:rPr>
                <w:b w:val="1"/>
                <w:bCs w:val="1"/>
                <w:u w:val="none"/>
              </w:rPr>
              <w:t>Iowa St.</w:t>
            </w:r>
          </w:p>
        </w:tc>
        <w:tc>
          <w:tcPr>
            <w:tcW w:w="4860" w:type="dxa"/>
            <w:tcMar/>
            <w:vAlign w:val="center"/>
          </w:tcPr>
          <w:p w:rsidR="24B9C8E9" w:rsidP="7A8DC779" w:rsidRDefault="24B9C8E9" w14:paraId="799955EA" w14:textId="6DF14E04">
            <w:pPr>
              <w:pStyle w:val="Normal"/>
              <w:jc w:val="center"/>
              <w:rPr>
                <w:b w:val="0"/>
                <w:bCs w:val="0"/>
                <w:u w:val="none"/>
              </w:rPr>
            </w:pPr>
            <w:r w:rsidR="24B9C8E9">
              <w:rPr>
                <w:b w:val="0"/>
                <w:bCs w:val="0"/>
                <w:u w:val="none"/>
              </w:rPr>
              <w:t>Mississippi St.</w:t>
            </w:r>
          </w:p>
          <w:p w:rsidR="24B9C8E9" w:rsidP="7A8DC779" w:rsidRDefault="24B9C8E9" w14:paraId="2BDF585D" w14:textId="56CAE16F">
            <w:pPr>
              <w:pStyle w:val="Normal"/>
              <w:jc w:val="center"/>
              <w:rPr>
                <w:b w:val="0"/>
                <w:bCs w:val="0"/>
                <w:u w:val="none"/>
              </w:rPr>
            </w:pPr>
            <w:r w:rsidRPr="7A8DC779" w:rsidR="24B9C8E9">
              <w:rPr>
                <w:b w:val="1"/>
                <w:bCs w:val="1"/>
                <w:u w:val="none"/>
              </w:rPr>
              <w:t>Oklahoma St.</w:t>
            </w:r>
          </w:p>
          <w:p w:rsidR="24B9C8E9" w:rsidP="7A8DC779" w:rsidRDefault="24B9C8E9" w14:paraId="0E995E81" w14:textId="6119C04D">
            <w:pPr>
              <w:pStyle w:val="Normal"/>
              <w:jc w:val="center"/>
              <w:rPr>
                <w:b w:val="0"/>
                <w:bCs w:val="0"/>
                <w:u w:val="none"/>
              </w:rPr>
            </w:pPr>
            <w:r w:rsidRPr="7A8DC779" w:rsidR="24B9C8E9">
              <w:rPr>
                <w:b w:val="1"/>
                <w:bCs w:val="1"/>
                <w:u w:val="none"/>
              </w:rPr>
              <w:t>Baylor</w:t>
            </w:r>
          </w:p>
          <w:p w:rsidR="24B9C8E9" w:rsidP="7A8DC779" w:rsidRDefault="24B9C8E9" w14:paraId="36C27947" w14:textId="0631DDE0">
            <w:pPr>
              <w:pStyle w:val="Normal"/>
              <w:jc w:val="center"/>
              <w:rPr>
                <w:b w:val="1"/>
                <w:bCs w:val="1"/>
                <w:u w:val="none"/>
              </w:rPr>
            </w:pPr>
            <w:r w:rsidRPr="7A8DC779" w:rsidR="24B9C8E9">
              <w:rPr>
                <w:b w:val="1"/>
                <w:bCs w:val="1"/>
                <w:u w:val="none"/>
              </w:rPr>
              <w:t>TCU</w:t>
            </w:r>
          </w:p>
          <w:p w:rsidR="24B9C8E9" w:rsidP="7A8DC779" w:rsidRDefault="24B9C8E9" w14:paraId="3CD6D1AC" w14:textId="7C515A85">
            <w:pPr>
              <w:pStyle w:val="Normal"/>
              <w:jc w:val="center"/>
              <w:rPr>
                <w:b w:val="1"/>
                <w:bCs w:val="1"/>
                <w:u w:val="none"/>
              </w:rPr>
            </w:pPr>
            <w:r w:rsidRPr="7A8DC779" w:rsidR="24B9C8E9">
              <w:rPr>
                <w:b w:val="1"/>
                <w:bCs w:val="1"/>
                <w:u w:val="none"/>
              </w:rPr>
              <w:t>Oklahoma</w:t>
            </w:r>
          </w:p>
          <w:p w:rsidR="24B9C8E9" w:rsidP="7A8DC779" w:rsidRDefault="24B9C8E9" w14:paraId="36245365" w14:textId="0E888732">
            <w:pPr>
              <w:pStyle w:val="Normal"/>
              <w:jc w:val="center"/>
              <w:rPr>
                <w:b w:val="1"/>
                <w:bCs w:val="1"/>
                <w:u w:val="none"/>
              </w:rPr>
            </w:pPr>
            <w:r w:rsidRPr="7A8DC779" w:rsidR="24B9C8E9">
              <w:rPr>
                <w:b w:val="1"/>
                <w:bCs w:val="1"/>
                <w:u w:val="none"/>
              </w:rPr>
              <w:t>Kansas</w:t>
            </w:r>
          </w:p>
          <w:p w:rsidR="24B9C8E9" w:rsidP="7A8DC779" w:rsidRDefault="24B9C8E9" w14:paraId="0086D0CF" w14:textId="17DE7C2A">
            <w:pPr>
              <w:pStyle w:val="Normal"/>
              <w:jc w:val="center"/>
              <w:rPr>
                <w:b w:val="1"/>
                <w:bCs w:val="1"/>
                <w:u w:val="none"/>
              </w:rPr>
            </w:pPr>
            <w:r w:rsidRPr="7A8DC779" w:rsidR="24B9C8E9">
              <w:rPr>
                <w:b w:val="1"/>
                <w:bCs w:val="1"/>
                <w:u w:val="none"/>
              </w:rPr>
              <w:t>West Virginia</w:t>
            </w:r>
          </w:p>
          <w:p w:rsidR="24B9C8E9" w:rsidP="7A8DC779" w:rsidRDefault="24B9C8E9" w14:paraId="1550A962" w14:textId="65580AB6">
            <w:pPr>
              <w:pStyle w:val="Normal"/>
              <w:jc w:val="center"/>
              <w:rPr>
                <w:b w:val="1"/>
                <w:bCs w:val="1"/>
                <w:u w:val="none"/>
              </w:rPr>
            </w:pPr>
            <w:r w:rsidRPr="7A8DC779" w:rsidR="24B9C8E9">
              <w:rPr>
                <w:b w:val="1"/>
                <w:bCs w:val="1"/>
                <w:u w:val="none"/>
              </w:rPr>
              <w:t>Texas Tech</w:t>
            </w:r>
          </w:p>
        </w:tc>
      </w:tr>
      <w:tr w:rsidR="7A8DC779" w:rsidTr="47C1863C" w14:paraId="06A921E4">
        <w:tc>
          <w:tcPr>
            <w:tcW w:w="825" w:type="dxa"/>
            <w:tcMar/>
            <w:vAlign w:val="center"/>
          </w:tcPr>
          <w:p w:rsidR="3AA57D4D" w:rsidP="7A8DC779" w:rsidRDefault="3AA57D4D" w14:paraId="166B8F85" w14:textId="5ADE2760">
            <w:pPr>
              <w:pStyle w:val="Normal"/>
              <w:jc w:val="center"/>
              <w:rPr>
                <w:b w:val="0"/>
                <w:bCs w:val="0"/>
                <w:u w:val="none"/>
              </w:rPr>
            </w:pPr>
            <w:r w:rsidR="3AA57D4D">
              <w:rPr>
                <w:b w:val="0"/>
                <w:bCs w:val="0"/>
                <w:u w:val="none"/>
              </w:rPr>
              <w:t>2020</w:t>
            </w:r>
          </w:p>
        </w:tc>
        <w:tc>
          <w:tcPr>
            <w:tcW w:w="3675" w:type="dxa"/>
            <w:tcMar/>
            <w:vAlign w:val="center"/>
          </w:tcPr>
          <w:p w:rsidR="5E6979CA" w:rsidP="7A8DC779" w:rsidRDefault="5E6979CA" w14:paraId="391CD4C9" w14:textId="4304F7F5">
            <w:pPr>
              <w:pStyle w:val="Normal"/>
              <w:jc w:val="center"/>
              <w:rPr>
                <w:b w:val="1"/>
                <w:bCs w:val="1"/>
                <w:u w:val="none"/>
              </w:rPr>
            </w:pPr>
            <w:r w:rsidRPr="7A8DC779" w:rsidR="5E6979CA">
              <w:rPr>
                <w:b w:val="1"/>
                <w:bCs w:val="1"/>
                <w:u w:val="none"/>
              </w:rPr>
              <w:t>Texas Tech</w:t>
            </w:r>
          </w:p>
          <w:p w:rsidR="5E6979CA" w:rsidP="7A8DC779" w:rsidRDefault="5E6979CA" w14:paraId="6C1D2195" w14:textId="5440C078">
            <w:pPr>
              <w:pStyle w:val="Normal"/>
              <w:jc w:val="center"/>
              <w:rPr>
                <w:b w:val="1"/>
                <w:bCs w:val="1"/>
                <w:u w:val="none"/>
              </w:rPr>
            </w:pPr>
            <w:r w:rsidRPr="7A8DC779" w:rsidR="5E6979CA">
              <w:rPr>
                <w:b w:val="1"/>
                <w:bCs w:val="1"/>
                <w:u w:val="none"/>
              </w:rPr>
              <w:t>West Virginia</w:t>
            </w:r>
          </w:p>
          <w:p w:rsidR="5E6979CA" w:rsidP="7A8DC779" w:rsidRDefault="5E6979CA" w14:paraId="2E786311" w14:textId="51BEC469">
            <w:pPr>
              <w:pStyle w:val="Normal"/>
              <w:jc w:val="center"/>
              <w:rPr>
                <w:b w:val="1"/>
                <w:bCs w:val="1"/>
                <w:u w:val="none"/>
              </w:rPr>
            </w:pPr>
            <w:r w:rsidRPr="7A8DC779" w:rsidR="5E6979CA">
              <w:rPr>
                <w:b w:val="1"/>
                <w:bCs w:val="1"/>
                <w:u w:val="none"/>
              </w:rPr>
              <w:t>Baylor</w:t>
            </w:r>
          </w:p>
          <w:p w:rsidR="5E6979CA" w:rsidP="7A8DC779" w:rsidRDefault="5E6979CA" w14:paraId="7CBB3CFF" w14:textId="317BA674">
            <w:pPr>
              <w:pStyle w:val="Normal"/>
              <w:jc w:val="center"/>
              <w:rPr>
                <w:b w:val="1"/>
                <w:bCs w:val="1"/>
                <w:u w:val="none"/>
              </w:rPr>
            </w:pPr>
            <w:r w:rsidRPr="7A8DC779" w:rsidR="5E6979CA">
              <w:rPr>
                <w:b w:val="1"/>
                <w:bCs w:val="1"/>
                <w:u w:val="none"/>
              </w:rPr>
              <w:t>Texas</w:t>
            </w:r>
          </w:p>
        </w:tc>
        <w:tc>
          <w:tcPr>
            <w:tcW w:w="4860" w:type="dxa"/>
            <w:tcMar/>
            <w:vAlign w:val="center"/>
          </w:tcPr>
          <w:p w:rsidR="5E6979CA" w:rsidP="7A8DC779" w:rsidRDefault="5E6979CA" w14:paraId="0EE42292" w14:textId="0D54EDF3">
            <w:pPr>
              <w:pStyle w:val="Normal"/>
              <w:jc w:val="center"/>
              <w:rPr>
                <w:b w:val="0"/>
                <w:bCs w:val="0"/>
                <w:u w:val="none"/>
              </w:rPr>
            </w:pPr>
            <w:r w:rsidR="5E6979CA">
              <w:rPr>
                <w:b w:val="0"/>
                <w:bCs w:val="0"/>
                <w:u w:val="none"/>
              </w:rPr>
              <w:t>Arkansas St</w:t>
            </w:r>
            <w:r w:rsidR="7DD0BCB2">
              <w:rPr>
                <w:b w:val="0"/>
                <w:bCs w:val="0"/>
                <w:u w:val="none"/>
              </w:rPr>
              <w:t>.</w:t>
            </w:r>
          </w:p>
          <w:p w:rsidR="5E6979CA" w:rsidP="7A8DC779" w:rsidRDefault="5E6979CA" w14:paraId="7DD8AB3E" w14:textId="08D04BB7">
            <w:pPr>
              <w:pStyle w:val="Normal"/>
              <w:jc w:val="center"/>
              <w:rPr>
                <w:b w:val="1"/>
                <w:bCs w:val="1"/>
                <w:u w:val="none"/>
              </w:rPr>
            </w:pPr>
            <w:r w:rsidRPr="7A8DC779" w:rsidR="5E6979CA">
              <w:rPr>
                <w:b w:val="1"/>
                <w:bCs w:val="1"/>
                <w:u w:val="none"/>
              </w:rPr>
              <w:t>Oklahoma</w:t>
            </w:r>
          </w:p>
          <w:p w:rsidR="5E6979CA" w:rsidP="7A8DC779" w:rsidRDefault="5E6979CA" w14:paraId="7F0A1C5C" w14:textId="4FC08671">
            <w:pPr>
              <w:pStyle w:val="Normal"/>
              <w:jc w:val="center"/>
              <w:rPr>
                <w:b w:val="1"/>
                <w:bCs w:val="1"/>
                <w:u w:val="none"/>
              </w:rPr>
            </w:pPr>
            <w:r w:rsidRPr="7A8DC779" w:rsidR="5E6979CA">
              <w:rPr>
                <w:b w:val="1"/>
                <w:bCs w:val="1"/>
                <w:u w:val="none"/>
              </w:rPr>
              <w:t>TCU</w:t>
            </w:r>
          </w:p>
          <w:p w:rsidR="5E6979CA" w:rsidP="7A8DC779" w:rsidRDefault="5E6979CA" w14:paraId="2F2BE54D" w14:textId="1C37068C">
            <w:pPr>
              <w:pStyle w:val="Normal"/>
              <w:jc w:val="center"/>
              <w:rPr>
                <w:b w:val="1"/>
                <w:bCs w:val="1"/>
                <w:u w:val="none"/>
              </w:rPr>
            </w:pPr>
            <w:r w:rsidRPr="7A8DC779" w:rsidR="5E6979CA">
              <w:rPr>
                <w:b w:val="1"/>
                <w:bCs w:val="1"/>
                <w:u w:val="none"/>
              </w:rPr>
              <w:t>Kansas</w:t>
            </w:r>
          </w:p>
          <w:p w:rsidR="5E6979CA" w:rsidP="7A8DC779" w:rsidRDefault="5E6979CA" w14:paraId="7681CE2B" w14:textId="00247E79">
            <w:pPr>
              <w:pStyle w:val="Normal"/>
              <w:jc w:val="center"/>
              <w:rPr>
                <w:b w:val="1"/>
                <w:bCs w:val="1"/>
                <w:u w:val="none"/>
              </w:rPr>
            </w:pPr>
            <w:r w:rsidRPr="7A8DC779" w:rsidR="5E6979CA">
              <w:rPr>
                <w:b w:val="1"/>
                <w:bCs w:val="1"/>
                <w:u w:val="none"/>
              </w:rPr>
              <w:t>Oklahoma St.</w:t>
            </w:r>
          </w:p>
          <w:p w:rsidR="5E6979CA" w:rsidP="7A8DC779" w:rsidRDefault="5E6979CA" w14:paraId="2358E593" w14:textId="1816AAE8">
            <w:pPr>
              <w:pStyle w:val="Normal"/>
              <w:jc w:val="center"/>
              <w:rPr>
                <w:b w:val="1"/>
                <w:bCs w:val="1"/>
                <w:u w:val="none"/>
              </w:rPr>
            </w:pPr>
            <w:r w:rsidRPr="7A8DC779" w:rsidR="5E6979CA">
              <w:rPr>
                <w:b w:val="1"/>
                <w:bCs w:val="1"/>
                <w:u w:val="none"/>
              </w:rPr>
              <w:t>Iowa St.</w:t>
            </w:r>
          </w:p>
        </w:tc>
      </w:tr>
      <w:tr w:rsidR="7A8DC779" w:rsidTr="47C1863C" w14:paraId="6ED80151">
        <w:tc>
          <w:tcPr>
            <w:tcW w:w="825" w:type="dxa"/>
            <w:tcMar/>
            <w:vAlign w:val="center"/>
          </w:tcPr>
          <w:p w:rsidR="3AA57D4D" w:rsidP="7A8DC779" w:rsidRDefault="3AA57D4D" w14:paraId="653F7775" w14:textId="2F58968D">
            <w:pPr>
              <w:pStyle w:val="Normal"/>
              <w:jc w:val="center"/>
              <w:rPr>
                <w:b w:val="0"/>
                <w:bCs w:val="0"/>
                <w:u w:val="none"/>
              </w:rPr>
            </w:pPr>
            <w:r w:rsidR="3AA57D4D">
              <w:rPr>
                <w:b w:val="0"/>
                <w:bCs w:val="0"/>
                <w:u w:val="none"/>
              </w:rPr>
              <w:t>2021</w:t>
            </w:r>
          </w:p>
        </w:tc>
        <w:tc>
          <w:tcPr>
            <w:tcW w:w="3675" w:type="dxa"/>
            <w:tcMar/>
            <w:vAlign w:val="center"/>
          </w:tcPr>
          <w:p w:rsidR="3AA57D4D" w:rsidP="7A8DC779" w:rsidRDefault="3AA57D4D" w14:paraId="6F4C8E52" w14:textId="1FF38EC8">
            <w:pPr>
              <w:pStyle w:val="Normal"/>
              <w:jc w:val="center"/>
              <w:rPr>
                <w:b w:val="1"/>
                <w:bCs w:val="1"/>
                <w:u w:val="none"/>
              </w:rPr>
            </w:pPr>
            <w:r w:rsidR="3AA57D4D">
              <w:rPr>
                <w:b w:val="0"/>
                <w:bCs w:val="0"/>
                <w:u w:val="none"/>
              </w:rPr>
              <w:t>Southern Illinois</w:t>
            </w:r>
            <w:r>
              <w:br/>
            </w:r>
            <w:r w:rsidR="3AA57D4D">
              <w:rPr>
                <w:b w:val="0"/>
                <w:bCs w:val="0"/>
                <w:u w:val="none"/>
              </w:rPr>
              <w:t>Nevada</w:t>
            </w:r>
            <w:r>
              <w:br/>
            </w:r>
            <w:r w:rsidRPr="7A8DC779" w:rsidR="3AA57D4D">
              <w:rPr>
                <w:b w:val="1"/>
                <w:bCs w:val="1"/>
                <w:u w:val="none"/>
              </w:rPr>
              <w:t>Oklahoma St.</w:t>
            </w:r>
            <w:r>
              <w:br/>
            </w:r>
            <w:r w:rsidRPr="7A8DC779" w:rsidR="3AA57D4D">
              <w:rPr>
                <w:b w:val="1"/>
                <w:bCs w:val="1"/>
                <w:u w:val="none"/>
              </w:rPr>
              <w:t>Oklahoma</w:t>
            </w:r>
          </w:p>
        </w:tc>
        <w:tc>
          <w:tcPr>
            <w:tcW w:w="4860" w:type="dxa"/>
            <w:tcMar/>
            <w:vAlign w:val="center"/>
          </w:tcPr>
          <w:p w:rsidR="3AA57D4D" w:rsidP="47C1863C" w:rsidRDefault="3AA57D4D" w14:paraId="35B628E7" w14:textId="719A36EA">
            <w:pPr>
              <w:pStyle w:val="Normal"/>
              <w:jc w:val="center"/>
              <w:rPr>
                <w:b w:val="1"/>
                <w:bCs w:val="1"/>
                <w:u w:val="none"/>
              </w:rPr>
            </w:pPr>
            <w:r w:rsidR="50E08267">
              <w:rPr>
                <w:b w:val="0"/>
                <w:bCs w:val="0"/>
                <w:u w:val="none"/>
              </w:rPr>
              <w:t>Stanford</w:t>
            </w:r>
            <w:r>
              <w:br/>
            </w:r>
            <w:r w:rsidRPr="47C1863C" w:rsidR="50E08267">
              <w:rPr>
                <w:b w:val="1"/>
                <w:bCs w:val="1"/>
                <w:u w:val="none"/>
              </w:rPr>
              <w:t>Iowa St.</w:t>
            </w:r>
            <w:r>
              <w:br/>
            </w:r>
            <w:r w:rsidRPr="47C1863C" w:rsidR="50E08267">
              <w:rPr>
                <w:b w:val="1"/>
                <w:bCs w:val="1"/>
                <w:u w:val="none"/>
              </w:rPr>
              <w:t>Texas Tech</w:t>
            </w:r>
            <w:r>
              <w:br/>
            </w:r>
            <w:r w:rsidRPr="47C1863C" w:rsidR="50E08267">
              <w:rPr>
                <w:b w:val="1"/>
                <w:bCs w:val="1"/>
                <w:u w:val="none"/>
              </w:rPr>
              <w:t>T</w:t>
            </w:r>
            <w:r w:rsidRPr="47C1863C" w:rsidR="3D96877A">
              <w:rPr>
                <w:b w:val="1"/>
                <w:bCs w:val="1"/>
                <w:u w:val="none"/>
              </w:rPr>
              <w:t>CU</w:t>
            </w:r>
          </w:p>
          <w:p w:rsidR="3AA57D4D" w:rsidP="47C1863C" w:rsidRDefault="3AA57D4D" w14:paraId="3710F4A1" w14:textId="6B0C062D">
            <w:pPr>
              <w:pStyle w:val="Normal"/>
              <w:jc w:val="center"/>
              <w:rPr>
                <w:b w:val="1"/>
                <w:bCs w:val="1"/>
                <w:u w:val="none"/>
              </w:rPr>
            </w:pPr>
            <w:r w:rsidRPr="47C1863C" w:rsidR="4581DB14">
              <w:rPr>
                <w:b w:val="1"/>
                <w:bCs w:val="1"/>
                <w:u w:val="none"/>
              </w:rPr>
              <w:t>West Virginia</w:t>
            </w:r>
          </w:p>
          <w:p w:rsidR="3AA57D4D" w:rsidP="47C1863C" w:rsidRDefault="3AA57D4D" w14:paraId="2AFF1E4D" w14:textId="39E301C8">
            <w:pPr>
              <w:pStyle w:val="Normal"/>
              <w:jc w:val="center"/>
              <w:rPr>
                <w:b w:val="1"/>
                <w:bCs w:val="1"/>
                <w:u w:val="none"/>
              </w:rPr>
            </w:pPr>
            <w:r w:rsidRPr="47C1863C" w:rsidR="4581DB14">
              <w:rPr>
                <w:b w:val="1"/>
                <w:bCs w:val="1"/>
                <w:u w:val="none"/>
              </w:rPr>
              <w:t>Baylor</w:t>
            </w:r>
          </w:p>
          <w:p w:rsidR="3AA57D4D" w:rsidP="7A8DC779" w:rsidRDefault="3AA57D4D" w14:paraId="6A8A12C2" w14:textId="2D776660">
            <w:pPr>
              <w:pStyle w:val="Normal"/>
              <w:jc w:val="center"/>
              <w:rPr>
                <w:b w:val="1"/>
                <w:bCs w:val="1"/>
                <w:u w:val="none"/>
              </w:rPr>
            </w:pPr>
            <w:r w:rsidRPr="47C1863C" w:rsidR="4581DB14">
              <w:rPr>
                <w:b w:val="1"/>
                <w:bCs w:val="1"/>
                <w:u w:val="none"/>
              </w:rPr>
              <w:t>Texas</w:t>
            </w:r>
          </w:p>
        </w:tc>
      </w:tr>
    </w:tbl>
    <w:p w:rsidR="7A8DC779" w:rsidP="7A8DC779" w:rsidRDefault="7A8DC779" w14:paraId="51266694" w14:textId="706E1FD4">
      <w:pPr>
        <w:pStyle w:val="Normal"/>
        <w:rPr>
          <w:b w:val="1"/>
          <w:bCs w:val="1"/>
          <w:u w:val="single"/>
        </w:rPr>
      </w:pPr>
    </w:p>
    <w:p w:rsidR="0FAFCCB0" w:rsidP="7A8DC779" w:rsidRDefault="0FAFCCB0" w14:paraId="0E74EC95" w14:textId="68A3A829">
      <w:pPr>
        <w:pStyle w:val="Normal"/>
        <w:rPr>
          <w:b w:val="0"/>
          <w:bCs w:val="0"/>
          <w:u w:val="none"/>
        </w:rPr>
      </w:pPr>
      <w:r w:rsidRPr="7A8DC779" w:rsidR="0FAFCCB0">
        <w:rPr>
          <w:b w:val="1"/>
          <w:bCs w:val="1"/>
          <w:u w:val="single"/>
        </w:rPr>
        <w:t>FINDINGS</w:t>
      </w:r>
      <w:r w:rsidRPr="7A8DC779" w:rsidR="7A643357">
        <w:rPr>
          <w:b w:val="1"/>
          <w:bCs w:val="1"/>
          <w:u w:val="single"/>
        </w:rPr>
        <w:t>:</w:t>
      </w:r>
    </w:p>
    <w:p w:rsidR="4FF4CAB8" w:rsidP="7A8DC779" w:rsidRDefault="4FF4CAB8" w14:paraId="24263ED5" w14:textId="4758BDBE">
      <w:pPr>
        <w:pStyle w:val="Normal"/>
        <w:rPr>
          <w:b w:val="1"/>
          <w:bCs w:val="1"/>
          <w:u w:val="single"/>
        </w:rPr>
      </w:pPr>
      <w:r w:rsidR="4FF4CAB8">
        <w:rPr>
          <w:b w:val="0"/>
          <w:bCs w:val="0"/>
          <w:u w:val="none"/>
        </w:rPr>
        <w:t>After analyzing the data, the following table was created to display the aggregate findings:</w:t>
      </w:r>
    </w:p>
    <w:p w:rsidR="4FF4CAB8" w:rsidP="7A8DC779" w:rsidRDefault="4FF4CAB8" w14:paraId="7E556318" w14:textId="363717B9">
      <w:pPr>
        <w:pStyle w:val="Normal"/>
        <w:jc w:val="center"/>
        <w:rPr>
          <w:b w:val="0"/>
          <w:bCs w:val="0"/>
          <w:u w:val="none"/>
        </w:rPr>
      </w:pPr>
      <w:r w:rsidRPr="7A8DC779" w:rsidR="4FF4CAB8">
        <w:rPr>
          <w:b w:val="0"/>
          <w:bCs w:val="0"/>
          <w:sz w:val="16"/>
          <w:szCs w:val="16"/>
          <w:u w:val="none"/>
        </w:rPr>
        <w:t xml:space="preserve">Table </w:t>
      </w:r>
      <w:r w:rsidRPr="7A8DC779" w:rsidR="6F494F56">
        <w:rPr>
          <w:b w:val="0"/>
          <w:bCs w:val="0"/>
          <w:sz w:val="16"/>
          <w:szCs w:val="16"/>
          <w:u w:val="none"/>
        </w:rPr>
        <w:t>2</w:t>
      </w:r>
      <w:r w:rsidRPr="7A8DC779" w:rsidR="4FF4CAB8">
        <w:rPr>
          <w:b w:val="0"/>
          <w:bCs w:val="0"/>
          <w:sz w:val="16"/>
          <w:szCs w:val="16"/>
          <w:u w:val="none"/>
        </w:rPr>
        <w:t>: Aggregate Data Results</w:t>
      </w:r>
    </w:p>
    <w:tbl>
      <w:tblPr>
        <w:tblStyle w:val="TableGrid"/>
        <w:tblW w:w="0" w:type="auto"/>
        <w:tblLayout w:type="fixed"/>
        <w:tblLook w:val="06A0" w:firstRow="1" w:lastRow="0" w:firstColumn="1" w:lastColumn="0" w:noHBand="1" w:noVBand="1"/>
      </w:tblPr>
      <w:tblGrid>
        <w:gridCol w:w="2505"/>
        <w:gridCol w:w="1725"/>
        <w:gridCol w:w="1695"/>
        <w:gridCol w:w="1563"/>
        <w:gridCol w:w="1872"/>
      </w:tblGrid>
      <w:tr w:rsidR="66901F06" w:rsidTr="47C1863C" w14:paraId="1D66C212">
        <w:tc>
          <w:tcPr>
            <w:tcW w:w="2505" w:type="dxa"/>
            <w:vMerge w:val="restart"/>
            <w:tcMar/>
          </w:tcPr>
          <w:p w:rsidR="66901F06" w:rsidP="66901F06" w:rsidRDefault="66901F06" w14:paraId="40090D0A" w14:textId="40C8223B">
            <w:pPr>
              <w:pStyle w:val="Normal"/>
              <w:rPr>
                <w:b w:val="1"/>
                <w:bCs w:val="1"/>
                <w:u w:val="none"/>
              </w:rPr>
            </w:pPr>
          </w:p>
        </w:tc>
        <w:tc>
          <w:tcPr>
            <w:tcW w:w="3420" w:type="dxa"/>
            <w:gridSpan w:val="2"/>
            <w:tcMar/>
            <w:vAlign w:val="center"/>
          </w:tcPr>
          <w:p w:rsidR="6045E510" w:rsidP="66901F06" w:rsidRDefault="6045E510" w14:paraId="7E93444E" w14:textId="0D03C58B">
            <w:pPr>
              <w:pStyle w:val="Normal"/>
              <w:jc w:val="center"/>
              <w:rPr>
                <w:b w:val="1"/>
                <w:bCs w:val="1"/>
                <w:u w:val="none"/>
              </w:rPr>
            </w:pPr>
            <w:r w:rsidRPr="66901F06" w:rsidR="6045E510">
              <w:rPr>
                <w:b w:val="1"/>
                <w:bCs w:val="1"/>
                <w:u w:val="none"/>
              </w:rPr>
              <w:t>Receive 1</w:t>
            </w:r>
            <w:r w:rsidRPr="66901F06" w:rsidR="6045E510">
              <w:rPr>
                <w:b w:val="1"/>
                <w:bCs w:val="1"/>
                <w:u w:val="none"/>
                <w:vertAlign w:val="superscript"/>
              </w:rPr>
              <w:t>st</w:t>
            </w:r>
            <w:r w:rsidRPr="66901F06" w:rsidR="6045E510">
              <w:rPr>
                <w:b w:val="1"/>
                <w:bCs w:val="1"/>
                <w:u w:val="none"/>
              </w:rPr>
              <w:t xml:space="preserve"> half / Kick 2</w:t>
            </w:r>
            <w:r w:rsidRPr="66901F06" w:rsidR="6045E510">
              <w:rPr>
                <w:b w:val="1"/>
                <w:bCs w:val="1"/>
                <w:u w:val="none"/>
                <w:vertAlign w:val="superscript"/>
              </w:rPr>
              <w:t>nd</w:t>
            </w:r>
            <w:r w:rsidRPr="66901F06" w:rsidR="6045E510">
              <w:rPr>
                <w:b w:val="1"/>
                <w:bCs w:val="1"/>
                <w:u w:val="none"/>
              </w:rPr>
              <w:t xml:space="preserve"> half</w:t>
            </w:r>
          </w:p>
        </w:tc>
        <w:tc>
          <w:tcPr>
            <w:tcW w:w="3435" w:type="dxa"/>
            <w:gridSpan w:val="2"/>
            <w:tcMar/>
            <w:vAlign w:val="center"/>
          </w:tcPr>
          <w:p w:rsidR="6045E510" w:rsidP="66901F06" w:rsidRDefault="6045E510" w14:paraId="41C60EAC" w14:textId="63657804">
            <w:pPr>
              <w:pStyle w:val="Normal"/>
              <w:jc w:val="center"/>
              <w:rPr>
                <w:b w:val="1"/>
                <w:bCs w:val="1"/>
                <w:u w:val="none"/>
              </w:rPr>
            </w:pPr>
            <w:r w:rsidRPr="66901F06" w:rsidR="6045E510">
              <w:rPr>
                <w:b w:val="1"/>
                <w:bCs w:val="1"/>
                <w:u w:val="none"/>
              </w:rPr>
              <w:t>Kick 1</w:t>
            </w:r>
            <w:r w:rsidRPr="66901F06" w:rsidR="6045E510">
              <w:rPr>
                <w:b w:val="1"/>
                <w:bCs w:val="1"/>
                <w:u w:val="none"/>
                <w:vertAlign w:val="superscript"/>
              </w:rPr>
              <w:t>st</w:t>
            </w:r>
            <w:r w:rsidRPr="66901F06" w:rsidR="6045E510">
              <w:rPr>
                <w:b w:val="1"/>
                <w:bCs w:val="1"/>
                <w:u w:val="none"/>
              </w:rPr>
              <w:t xml:space="preserve"> half / Receive 2</w:t>
            </w:r>
            <w:r w:rsidRPr="66901F06" w:rsidR="6045E510">
              <w:rPr>
                <w:b w:val="1"/>
                <w:bCs w:val="1"/>
                <w:u w:val="none"/>
                <w:vertAlign w:val="superscript"/>
              </w:rPr>
              <w:t>nd</w:t>
            </w:r>
            <w:r w:rsidRPr="66901F06" w:rsidR="6045E510">
              <w:rPr>
                <w:b w:val="1"/>
                <w:bCs w:val="1"/>
                <w:u w:val="none"/>
              </w:rPr>
              <w:t xml:space="preserve"> half</w:t>
            </w:r>
          </w:p>
        </w:tc>
      </w:tr>
      <w:tr w:rsidR="66901F06" w:rsidTr="47C1863C" w14:paraId="0A812FEB">
        <w:tc>
          <w:tcPr>
            <w:tcW w:w="2505" w:type="dxa"/>
            <w:vMerge/>
            <w:tcMar/>
          </w:tcPr>
          <w:p w14:paraId="237F3E0F"/>
        </w:tc>
        <w:tc>
          <w:tcPr>
            <w:tcW w:w="1725" w:type="dxa"/>
            <w:tcMar/>
            <w:vAlign w:val="center"/>
          </w:tcPr>
          <w:p w:rsidR="6045E510" w:rsidP="66901F06" w:rsidRDefault="6045E510" w14:paraId="0C1F658A" w14:textId="3A6134D3">
            <w:pPr>
              <w:pStyle w:val="Normal"/>
              <w:jc w:val="center"/>
              <w:rPr>
                <w:b w:val="1"/>
                <w:bCs w:val="1"/>
                <w:u w:val="none"/>
              </w:rPr>
            </w:pPr>
            <w:r w:rsidRPr="66901F06" w:rsidR="6045E510">
              <w:rPr>
                <w:b w:val="1"/>
                <w:bCs w:val="1"/>
                <w:u w:val="none"/>
              </w:rPr>
              <w:t>Q1</w:t>
            </w:r>
          </w:p>
        </w:tc>
        <w:tc>
          <w:tcPr>
            <w:tcW w:w="1695" w:type="dxa"/>
            <w:tcMar/>
            <w:vAlign w:val="center"/>
          </w:tcPr>
          <w:p w:rsidR="6045E510" w:rsidP="66901F06" w:rsidRDefault="6045E510" w14:paraId="42A55CD9" w14:textId="2A864066">
            <w:pPr>
              <w:pStyle w:val="Normal"/>
              <w:jc w:val="center"/>
              <w:rPr>
                <w:b w:val="1"/>
                <w:bCs w:val="1"/>
                <w:u w:val="none"/>
              </w:rPr>
            </w:pPr>
            <w:r w:rsidRPr="66901F06" w:rsidR="6045E510">
              <w:rPr>
                <w:b w:val="1"/>
                <w:bCs w:val="1"/>
                <w:u w:val="none"/>
              </w:rPr>
              <w:t>Q3</w:t>
            </w:r>
          </w:p>
        </w:tc>
        <w:tc>
          <w:tcPr>
            <w:tcW w:w="1563" w:type="dxa"/>
            <w:tcMar/>
            <w:vAlign w:val="center"/>
          </w:tcPr>
          <w:p w:rsidR="6045E510" w:rsidP="66901F06" w:rsidRDefault="6045E510" w14:paraId="1F00F690" w14:textId="1F1359A8">
            <w:pPr>
              <w:pStyle w:val="Normal"/>
              <w:jc w:val="center"/>
              <w:rPr>
                <w:b w:val="1"/>
                <w:bCs w:val="1"/>
                <w:u w:val="none"/>
              </w:rPr>
            </w:pPr>
            <w:r w:rsidRPr="66901F06" w:rsidR="6045E510">
              <w:rPr>
                <w:b w:val="1"/>
                <w:bCs w:val="1"/>
                <w:u w:val="none"/>
              </w:rPr>
              <w:t>Q1</w:t>
            </w:r>
          </w:p>
        </w:tc>
        <w:tc>
          <w:tcPr>
            <w:tcW w:w="1872" w:type="dxa"/>
            <w:tcMar/>
            <w:vAlign w:val="center"/>
          </w:tcPr>
          <w:p w:rsidR="6045E510" w:rsidP="66901F06" w:rsidRDefault="6045E510" w14:paraId="2AE766FF" w14:textId="2F5FB9EB">
            <w:pPr>
              <w:pStyle w:val="Normal"/>
              <w:jc w:val="center"/>
              <w:rPr>
                <w:b w:val="1"/>
                <w:bCs w:val="1"/>
                <w:u w:val="none"/>
              </w:rPr>
            </w:pPr>
            <w:r w:rsidRPr="66901F06" w:rsidR="6045E510">
              <w:rPr>
                <w:b w:val="1"/>
                <w:bCs w:val="1"/>
                <w:u w:val="none"/>
              </w:rPr>
              <w:t>Q3</w:t>
            </w:r>
          </w:p>
        </w:tc>
      </w:tr>
      <w:tr w:rsidR="7A8DC779" w:rsidTr="47C1863C" w14:paraId="5193E8DA">
        <w:tc>
          <w:tcPr>
            <w:tcW w:w="2505" w:type="dxa"/>
            <w:tcMar/>
          </w:tcPr>
          <w:p w:rsidR="5A6C42E2" w:rsidP="7A8DC779" w:rsidRDefault="5A6C42E2" w14:paraId="22ED1B20" w14:textId="5F3F396B">
            <w:pPr>
              <w:pStyle w:val="Normal"/>
              <w:jc w:val="center"/>
              <w:rPr>
                <w:b w:val="1"/>
                <w:bCs w:val="1"/>
                <w:u w:val="none"/>
              </w:rPr>
            </w:pPr>
            <w:r w:rsidRPr="7A8DC779" w:rsidR="5A6C42E2">
              <w:rPr>
                <w:b w:val="1"/>
                <w:bCs w:val="1"/>
                <w:u w:val="none"/>
              </w:rPr>
              <w:t>Number of Games</w:t>
            </w:r>
          </w:p>
        </w:tc>
        <w:tc>
          <w:tcPr>
            <w:tcW w:w="3420" w:type="dxa"/>
            <w:gridSpan w:val="2"/>
            <w:tcMar/>
            <w:vAlign w:val="center"/>
          </w:tcPr>
          <w:p w:rsidR="5A6C42E2" w:rsidP="7A8DC779" w:rsidRDefault="5A6C42E2" w14:paraId="7E37A40B" w14:textId="717D4614">
            <w:pPr>
              <w:pStyle w:val="Normal"/>
              <w:spacing w:line="259" w:lineRule="auto"/>
              <w:jc w:val="center"/>
              <w:rPr>
                <w:b w:val="0"/>
                <w:bCs w:val="0"/>
                <w:u w:val="none"/>
              </w:rPr>
            </w:pPr>
            <w:r w:rsidR="5A6C42E2">
              <w:rPr>
                <w:b w:val="0"/>
                <w:bCs w:val="0"/>
                <w:u w:val="none"/>
              </w:rPr>
              <w:t>1</w:t>
            </w:r>
            <w:r w:rsidR="1674B6C2">
              <w:rPr>
                <w:b w:val="0"/>
                <w:bCs w:val="0"/>
                <w:u w:val="none"/>
              </w:rPr>
              <w:t>2</w:t>
            </w:r>
          </w:p>
        </w:tc>
        <w:tc>
          <w:tcPr>
            <w:tcW w:w="3435" w:type="dxa"/>
            <w:gridSpan w:val="2"/>
            <w:tcMar/>
            <w:vAlign w:val="center"/>
          </w:tcPr>
          <w:p w:rsidR="5A6C42E2" w:rsidP="47C1863C" w:rsidRDefault="5A6C42E2" w14:paraId="2EE3ADAE" w14:textId="11A2297D">
            <w:pPr>
              <w:pStyle w:val="Normal"/>
              <w:bidi w:val="0"/>
              <w:spacing w:before="0" w:beforeAutospacing="off" w:after="0" w:afterAutospacing="off" w:line="259" w:lineRule="auto"/>
              <w:ind w:left="0" w:right="0"/>
              <w:jc w:val="center"/>
              <w:rPr>
                <w:b w:val="0"/>
                <w:bCs w:val="0"/>
                <w:u w:val="none"/>
              </w:rPr>
            </w:pPr>
            <w:r w:rsidR="1674B6C2">
              <w:rPr>
                <w:b w:val="0"/>
                <w:bCs w:val="0"/>
                <w:u w:val="none"/>
              </w:rPr>
              <w:t>20</w:t>
            </w:r>
          </w:p>
        </w:tc>
      </w:tr>
      <w:tr w:rsidR="66901F06" w:rsidTr="47C1863C" w14:paraId="496B8974">
        <w:tc>
          <w:tcPr>
            <w:tcW w:w="2505" w:type="dxa"/>
            <w:tcMar/>
          </w:tcPr>
          <w:p w:rsidR="75ABABB7" w:rsidP="66901F06" w:rsidRDefault="75ABABB7" w14:paraId="58E993C3" w14:textId="016E8C02">
            <w:pPr>
              <w:pStyle w:val="Normal"/>
              <w:jc w:val="center"/>
              <w:rPr>
                <w:b w:val="1"/>
                <w:bCs w:val="1"/>
                <w:u w:val="none"/>
              </w:rPr>
            </w:pPr>
            <w:r w:rsidRPr="7A8DC779" w:rsidR="05CB7D04">
              <w:rPr>
                <w:b w:val="1"/>
                <w:bCs w:val="1"/>
                <w:u w:val="none"/>
              </w:rPr>
              <w:t xml:space="preserve">Scoring </w:t>
            </w:r>
            <w:r w:rsidRPr="7A8DC779" w:rsidR="569BC65E">
              <w:rPr>
                <w:b w:val="1"/>
                <w:bCs w:val="1"/>
                <w:u w:val="none"/>
              </w:rPr>
              <w:t>%</w:t>
            </w:r>
          </w:p>
        </w:tc>
        <w:tc>
          <w:tcPr>
            <w:tcW w:w="1725" w:type="dxa"/>
            <w:tcMar/>
            <w:vAlign w:val="center"/>
          </w:tcPr>
          <w:p w:rsidR="5247E8B3" w:rsidP="47C1863C" w:rsidRDefault="5247E8B3" w14:paraId="53033F42" w14:textId="193AE9FD">
            <w:pPr>
              <w:pStyle w:val="Normal"/>
              <w:bidi w:val="0"/>
              <w:spacing w:before="0" w:beforeAutospacing="off" w:after="0" w:afterAutospacing="off" w:line="259" w:lineRule="auto"/>
              <w:ind w:left="0" w:right="0"/>
              <w:jc w:val="center"/>
              <w:rPr>
                <w:b w:val="0"/>
                <w:bCs w:val="0"/>
                <w:u w:val="none"/>
              </w:rPr>
            </w:pPr>
            <w:r w:rsidR="61ECE9AC">
              <w:rPr>
                <w:b w:val="0"/>
                <w:bCs w:val="0"/>
                <w:u w:val="none"/>
              </w:rPr>
              <w:t>58</w:t>
            </w:r>
            <w:r w:rsidR="2B3E8423">
              <w:rPr>
                <w:b w:val="0"/>
                <w:bCs w:val="0"/>
                <w:u w:val="none"/>
              </w:rPr>
              <w:t>%</w:t>
            </w:r>
          </w:p>
        </w:tc>
        <w:tc>
          <w:tcPr>
            <w:tcW w:w="1695" w:type="dxa"/>
            <w:tcMar/>
            <w:vAlign w:val="center"/>
          </w:tcPr>
          <w:p w:rsidR="5247E8B3" w:rsidP="47C1863C" w:rsidRDefault="5247E8B3" w14:paraId="19189A6C" w14:textId="423C8229">
            <w:pPr>
              <w:pStyle w:val="Normal"/>
              <w:bidi w:val="0"/>
              <w:spacing w:before="0" w:beforeAutospacing="off" w:after="0" w:afterAutospacing="off" w:line="259" w:lineRule="auto"/>
              <w:ind w:left="0" w:right="0"/>
              <w:jc w:val="center"/>
              <w:rPr>
                <w:b w:val="0"/>
                <w:bCs w:val="0"/>
                <w:u w:val="none"/>
              </w:rPr>
            </w:pPr>
            <w:r w:rsidR="51118B42">
              <w:rPr>
                <w:b w:val="0"/>
                <w:bCs w:val="0"/>
                <w:u w:val="none"/>
              </w:rPr>
              <w:t>33</w:t>
            </w:r>
            <w:r w:rsidR="2B3E8423">
              <w:rPr>
                <w:b w:val="0"/>
                <w:bCs w:val="0"/>
                <w:u w:val="none"/>
              </w:rPr>
              <w:t>%</w:t>
            </w:r>
          </w:p>
        </w:tc>
        <w:tc>
          <w:tcPr>
            <w:tcW w:w="1563" w:type="dxa"/>
            <w:tcMar/>
            <w:vAlign w:val="center"/>
          </w:tcPr>
          <w:p w:rsidR="5247E8B3" w:rsidP="47C1863C" w:rsidRDefault="5247E8B3" w14:paraId="10C78A1B" w14:textId="7DB68CEC">
            <w:pPr>
              <w:pStyle w:val="Normal"/>
              <w:bidi w:val="0"/>
              <w:spacing w:before="0" w:beforeAutospacing="off" w:after="0" w:afterAutospacing="off" w:line="259" w:lineRule="auto"/>
              <w:ind w:left="0" w:right="0"/>
              <w:jc w:val="center"/>
              <w:rPr>
                <w:b w:val="0"/>
                <w:bCs w:val="0"/>
                <w:u w:val="none"/>
              </w:rPr>
            </w:pPr>
            <w:r w:rsidR="534A0284">
              <w:rPr>
                <w:b w:val="0"/>
                <w:bCs w:val="0"/>
                <w:u w:val="none"/>
              </w:rPr>
              <w:t>35</w:t>
            </w:r>
            <w:r w:rsidR="2B3E8423">
              <w:rPr>
                <w:b w:val="0"/>
                <w:bCs w:val="0"/>
                <w:u w:val="none"/>
              </w:rPr>
              <w:t>%</w:t>
            </w:r>
          </w:p>
        </w:tc>
        <w:tc>
          <w:tcPr>
            <w:tcW w:w="1872" w:type="dxa"/>
            <w:tcMar/>
            <w:vAlign w:val="center"/>
          </w:tcPr>
          <w:p w:rsidR="0A863781" w:rsidP="47C1863C" w:rsidRDefault="0A863781" w14:paraId="71ACA6F4" w14:textId="42E642CE">
            <w:pPr>
              <w:pStyle w:val="Normal"/>
              <w:bidi w:val="0"/>
              <w:spacing w:before="0" w:beforeAutospacing="off" w:after="0" w:afterAutospacing="off" w:line="259" w:lineRule="auto"/>
              <w:ind w:left="0" w:right="0"/>
              <w:jc w:val="center"/>
              <w:rPr>
                <w:b w:val="0"/>
                <w:bCs w:val="0"/>
                <w:u w:val="none"/>
              </w:rPr>
            </w:pPr>
            <w:r w:rsidR="2B3E8423">
              <w:rPr>
                <w:b w:val="0"/>
                <w:bCs w:val="0"/>
                <w:u w:val="none"/>
              </w:rPr>
              <w:t>4</w:t>
            </w:r>
            <w:r w:rsidR="22F84773">
              <w:rPr>
                <w:b w:val="0"/>
                <w:bCs w:val="0"/>
                <w:u w:val="none"/>
              </w:rPr>
              <w:t>0</w:t>
            </w:r>
            <w:r w:rsidR="2B3E8423">
              <w:rPr>
                <w:b w:val="0"/>
                <w:bCs w:val="0"/>
                <w:u w:val="none"/>
              </w:rPr>
              <w:t>%</w:t>
            </w:r>
          </w:p>
        </w:tc>
      </w:tr>
      <w:tr w:rsidR="7A8DC779" w:rsidTr="47C1863C" w14:paraId="0C33ECF2">
        <w:tc>
          <w:tcPr>
            <w:tcW w:w="2505" w:type="dxa"/>
            <w:tcMar/>
          </w:tcPr>
          <w:p w:rsidR="475C30D9" w:rsidP="7A8DC779" w:rsidRDefault="475C30D9" w14:paraId="72BE0D02" w14:textId="61EE8AAE">
            <w:pPr>
              <w:pStyle w:val="Normal"/>
              <w:jc w:val="center"/>
              <w:rPr>
                <w:b w:val="1"/>
                <w:bCs w:val="1"/>
                <w:u w:val="none"/>
              </w:rPr>
            </w:pPr>
            <w:r w:rsidRPr="7A8DC779" w:rsidR="475C30D9">
              <w:rPr>
                <w:b w:val="1"/>
                <w:bCs w:val="1"/>
                <w:u w:val="none"/>
              </w:rPr>
              <w:t>Points For</w:t>
            </w:r>
          </w:p>
        </w:tc>
        <w:tc>
          <w:tcPr>
            <w:tcW w:w="1725" w:type="dxa"/>
            <w:tcMar/>
            <w:vAlign w:val="center"/>
          </w:tcPr>
          <w:p w:rsidR="475C30D9" w:rsidP="47C1863C" w:rsidRDefault="475C30D9" w14:paraId="36648D09" w14:textId="4D159E96">
            <w:pPr>
              <w:pStyle w:val="Normal"/>
              <w:bidi w:val="0"/>
              <w:spacing w:before="0" w:beforeAutospacing="off" w:after="0" w:afterAutospacing="off" w:line="259" w:lineRule="auto"/>
              <w:ind w:left="0" w:right="0"/>
              <w:jc w:val="center"/>
              <w:rPr>
                <w:b w:val="0"/>
                <w:bCs w:val="0"/>
                <w:u w:val="none"/>
              </w:rPr>
            </w:pPr>
            <w:r w:rsidR="21B3A558">
              <w:rPr>
                <w:b w:val="0"/>
                <w:bCs w:val="0"/>
                <w:u w:val="none"/>
              </w:rPr>
              <w:t>41</w:t>
            </w:r>
          </w:p>
        </w:tc>
        <w:tc>
          <w:tcPr>
            <w:tcW w:w="1695" w:type="dxa"/>
            <w:tcMar/>
            <w:vAlign w:val="center"/>
          </w:tcPr>
          <w:p w:rsidR="475C30D9" w:rsidP="47C1863C" w:rsidRDefault="475C30D9" w14:paraId="46A9A763" w14:textId="4F137C2F">
            <w:pPr>
              <w:pStyle w:val="Normal"/>
              <w:bidi w:val="0"/>
              <w:spacing w:before="0" w:beforeAutospacing="off" w:after="0" w:afterAutospacing="off" w:line="259" w:lineRule="auto"/>
              <w:ind w:left="0" w:right="0"/>
              <w:jc w:val="center"/>
              <w:rPr>
                <w:b w:val="0"/>
                <w:bCs w:val="0"/>
                <w:u w:val="none"/>
              </w:rPr>
            </w:pPr>
            <w:r w:rsidR="7BE9E47E">
              <w:rPr>
                <w:b w:val="0"/>
                <w:bCs w:val="0"/>
                <w:u w:val="none"/>
              </w:rPr>
              <w:t>20</w:t>
            </w:r>
          </w:p>
        </w:tc>
        <w:tc>
          <w:tcPr>
            <w:tcW w:w="1563" w:type="dxa"/>
            <w:tcMar/>
            <w:vAlign w:val="center"/>
          </w:tcPr>
          <w:p w:rsidR="475C30D9" w:rsidP="7A8DC779" w:rsidRDefault="475C30D9" w14:paraId="67301054" w14:textId="6B872CC1">
            <w:pPr>
              <w:pStyle w:val="Normal"/>
              <w:spacing w:line="259" w:lineRule="auto"/>
              <w:jc w:val="center"/>
              <w:rPr>
                <w:b w:val="0"/>
                <w:bCs w:val="0"/>
                <w:u w:val="none"/>
              </w:rPr>
            </w:pPr>
            <w:r w:rsidR="44A94FC9">
              <w:rPr>
                <w:b w:val="0"/>
                <w:bCs w:val="0"/>
                <w:u w:val="none"/>
              </w:rPr>
              <w:t>45</w:t>
            </w:r>
          </w:p>
        </w:tc>
        <w:tc>
          <w:tcPr>
            <w:tcW w:w="1872" w:type="dxa"/>
            <w:tcMar/>
            <w:vAlign w:val="center"/>
          </w:tcPr>
          <w:p w:rsidR="475C30D9" w:rsidP="47C1863C" w:rsidRDefault="475C30D9" w14:paraId="31082D62" w14:textId="6AF461EC">
            <w:pPr>
              <w:pStyle w:val="Normal"/>
              <w:bidi w:val="0"/>
              <w:spacing w:before="0" w:beforeAutospacing="off" w:after="0" w:afterAutospacing="off" w:line="259" w:lineRule="auto"/>
              <w:ind w:left="0" w:right="0"/>
              <w:jc w:val="center"/>
              <w:rPr>
                <w:b w:val="0"/>
                <w:bCs w:val="0"/>
                <w:u w:val="none"/>
              </w:rPr>
            </w:pPr>
            <w:r w:rsidR="44A94FC9">
              <w:rPr>
                <w:b w:val="0"/>
                <w:bCs w:val="0"/>
                <w:u w:val="none"/>
              </w:rPr>
              <w:t>48</w:t>
            </w:r>
          </w:p>
        </w:tc>
      </w:tr>
      <w:tr w:rsidR="66901F06" w:rsidTr="47C1863C" w14:paraId="3442BA48">
        <w:tc>
          <w:tcPr>
            <w:tcW w:w="2505" w:type="dxa"/>
            <w:tcMar/>
          </w:tcPr>
          <w:p w:rsidR="75ABABB7" w:rsidP="66901F06" w:rsidRDefault="75ABABB7" w14:paraId="5325F960" w14:textId="07CBDEE3">
            <w:pPr>
              <w:pStyle w:val="Normal"/>
              <w:jc w:val="center"/>
              <w:rPr>
                <w:b w:val="1"/>
                <w:bCs w:val="1"/>
                <w:u w:val="none"/>
              </w:rPr>
            </w:pPr>
            <w:r w:rsidRPr="7A8DC779" w:rsidR="475C30D9">
              <w:rPr>
                <w:b w:val="1"/>
                <w:bCs w:val="1"/>
                <w:u w:val="none"/>
              </w:rPr>
              <w:t>Avg. Points Scored</w:t>
            </w:r>
          </w:p>
        </w:tc>
        <w:tc>
          <w:tcPr>
            <w:tcW w:w="1725" w:type="dxa"/>
            <w:tcMar/>
            <w:vAlign w:val="center"/>
          </w:tcPr>
          <w:p w:rsidR="7E28D51E" w:rsidP="66901F06" w:rsidRDefault="7E28D51E" w14:paraId="559FE139" w14:textId="31BAF464">
            <w:pPr>
              <w:pStyle w:val="Normal"/>
              <w:jc w:val="center"/>
              <w:rPr>
                <w:b w:val="0"/>
                <w:bCs w:val="0"/>
                <w:u w:val="none"/>
              </w:rPr>
            </w:pPr>
            <w:r w:rsidR="7A177A97">
              <w:rPr>
                <w:b w:val="0"/>
                <w:bCs w:val="0"/>
                <w:u w:val="none"/>
              </w:rPr>
              <w:t>3.42</w:t>
            </w:r>
          </w:p>
        </w:tc>
        <w:tc>
          <w:tcPr>
            <w:tcW w:w="1695" w:type="dxa"/>
            <w:tcMar/>
            <w:vAlign w:val="center"/>
          </w:tcPr>
          <w:p w:rsidR="7E28D51E" w:rsidP="7A8DC779" w:rsidRDefault="7E28D51E" w14:paraId="5B2E7B77" w14:textId="583D3D07">
            <w:pPr>
              <w:pStyle w:val="Normal"/>
              <w:bidi w:val="0"/>
              <w:spacing w:before="0" w:beforeAutospacing="off" w:after="0" w:afterAutospacing="off" w:line="259" w:lineRule="auto"/>
              <w:ind w:left="0" w:right="0"/>
              <w:jc w:val="center"/>
              <w:rPr>
                <w:b w:val="0"/>
                <w:bCs w:val="0"/>
                <w:u w:val="none"/>
              </w:rPr>
            </w:pPr>
            <w:r w:rsidR="3A56F029">
              <w:rPr>
                <w:b w:val="0"/>
                <w:bCs w:val="0"/>
                <w:u w:val="none"/>
              </w:rPr>
              <w:t>1.67</w:t>
            </w:r>
          </w:p>
        </w:tc>
        <w:tc>
          <w:tcPr>
            <w:tcW w:w="1563" w:type="dxa"/>
            <w:tcMar/>
            <w:vAlign w:val="center"/>
          </w:tcPr>
          <w:p w:rsidR="10ECCDE5" w:rsidP="7A8DC779" w:rsidRDefault="10ECCDE5" w14:paraId="7775997B" w14:textId="0A9BCE24">
            <w:pPr>
              <w:pStyle w:val="Normal"/>
              <w:bidi w:val="0"/>
              <w:spacing w:before="0" w:beforeAutospacing="off" w:after="0" w:afterAutospacing="off" w:line="259" w:lineRule="auto"/>
              <w:ind w:left="0" w:right="0"/>
              <w:jc w:val="center"/>
              <w:rPr>
                <w:b w:val="0"/>
                <w:bCs w:val="0"/>
                <w:u w:val="none"/>
              </w:rPr>
            </w:pPr>
            <w:r w:rsidR="3A56F029">
              <w:rPr>
                <w:b w:val="0"/>
                <w:bCs w:val="0"/>
                <w:u w:val="none"/>
              </w:rPr>
              <w:t>2.</w:t>
            </w:r>
            <w:r w:rsidR="1D1BA408">
              <w:rPr>
                <w:b w:val="0"/>
                <w:bCs w:val="0"/>
                <w:u w:val="none"/>
              </w:rPr>
              <w:t>25</w:t>
            </w:r>
          </w:p>
        </w:tc>
        <w:tc>
          <w:tcPr>
            <w:tcW w:w="1872" w:type="dxa"/>
            <w:tcMar/>
            <w:vAlign w:val="center"/>
          </w:tcPr>
          <w:p w:rsidR="10ECCDE5" w:rsidP="47C1863C" w:rsidRDefault="10ECCDE5" w14:paraId="4A6E5E9A" w14:textId="664957C9">
            <w:pPr>
              <w:pStyle w:val="Normal"/>
              <w:bidi w:val="0"/>
              <w:spacing w:before="0" w:beforeAutospacing="off" w:after="0" w:afterAutospacing="off" w:line="259" w:lineRule="auto"/>
              <w:ind w:left="0" w:right="0"/>
              <w:jc w:val="center"/>
              <w:rPr>
                <w:b w:val="0"/>
                <w:bCs w:val="0"/>
                <w:u w:val="none"/>
              </w:rPr>
            </w:pPr>
            <w:r w:rsidR="1D1BA408">
              <w:rPr>
                <w:b w:val="0"/>
                <w:bCs w:val="0"/>
                <w:u w:val="none"/>
              </w:rPr>
              <w:t>2.40</w:t>
            </w:r>
          </w:p>
        </w:tc>
      </w:tr>
      <w:tr w:rsidR="66901F06" w:rsidTr="47C1863C" w14:paraId="1F9F6FE6">
        <w:tc>
          <w:tcPr>
            <w:tcW w:w="2505" w:type="dxa"/>
            <w:tcMar/>
          </w:tcPr>
          <w:p w:rsidR="75ABABB7" w:rsidP="66901F06" w:rsidRDefault="75ABABB7" w14:paraId="3EF3B242" w14:textId="2D6D427E">
            <w:pPr>
              <w:pStyle w:val="Normal"/>
              <w:jc w:val="center"/>
              <w:rPr>
                <w:b w:val="1"/>
                <w:bCs w:val="1"/>
                <w:u w:val="none"/>
              </w:rPr>
            </w:pPr>
            <w:r w:rsidRPr="66901F06" w:rsidR="75ABABB7">
              <w:rPr>
                <w:b w:val="1"/>
                <w:bCs w:val="1"/>
                <w:u w:val="none"/>
              </w:rPr>
              <w:t>Avg. Ending Dist</w:t>
            </w:r>
            <w:r w:rsidRPr="66901F06" w:rsidR="52A87843">
              <w:rPr>
                <w:b w:val="1"/>
                <w:bCs w:val="1"/>
                <w:u w:val="none"/>
              </w:rPr>
              <w:t>ance</w:t>
            </w:r>
          </w:p>
        </w:tc>
        <w:tc>
          <w:tcPr>
            <w:tcW w:w="1725" w:type="dxa"/>
            <w:tcMar/>
            <w:vAlign w:val="center"/>
          </w:tcPr>
          <w:p w:rsidR="2924B21B" w:rsidP="66901F06" w:rsidRDefault="2924B21B" w14:paraId="1D4B61D4" w14:textId="6241C083">
            <w:pPr>
              <w:pStyle w:val="Normal"/>
              <w:jc w:val="center"/>
              <w:rPr>
                <w:b w:val="0"/>
                <w:bCs w:val="0"/>
                <w:u w:val="none"/>
              </w:rPr>
            </w:pPr>
            <w:r w:rsidR="021E44EE">
              <w:rPr>
                <w:b w:val="0"/>
                <w:bCs w:val="0"/>
                <w:u w:val="none"/>
              </w:rPr>
              <w:t>2</w:t>
            </w:r>
            <w:r w:rsidR="020AB81C">
              <w:rPr>
                <w:b w:val="0"/>
                <w:bCs w:val="0"/>
                <w:u w:val="none"/>
              </w:rPr>
              <w:t>2.5</w:t>
            </w:r>
          </w:p>
        </w:tc>
        <w:tc>
          <w:tcPr>
            <w:tcW w:w="1695" w:type="dxa"/>
            <w:tcMar/>
            <w:vAlign w:val="center"/>
          </w:tcPr>
          <w:p w:rsidR="2924B21B" w:rsidP="7A8DC779" w:rsidRDefault="2924B21B" w14:paraId="221447DE" w14:textId="61B8BFE8">
            <w:pPr>
              <w:pStyle w:val="Normal"/>
              <w:bidi w:val="0"/>
              <w:spacing w:before="0" w:beforeAutospacing="off" w:after="0" w:afterAutospacing="off" w:line="259" w:lineRule="auto"/>
              <w:ind w:left="0" w:right="0"/>
              <w:jc w:val="center"/>
              <w:rPr>
                <w:b w:val="0"/>
                <w:bCs w:val="0"/>
                <w:u w:val="none"/>
              </w:rPr>
            </w:pPr>
            <w:r w:rsidR="4AE460AD">
              <w:rPr>
                <w:b w:val="0"/>
                <w:bCs w:val="0"/>
                <w:u w:val="none"/>
              </w:rPr>
              <w:t>4</w:t>
            </w:r>
            <w:r w:rsidR="75F4AE46">
              <w:rPr>
                <w:b w:val="0"/>
                <w:bCs w:val="0"/>
                <w:u w:val="none"/>
              </w:rPr>
              <w:t>7.3</w:t>
            </w:r>
          </w:p>
        </w:tc>
        <w:tc>
          <w:tcPr>
            <w:tcW w:w="1563" w:type="dxa"/>
            <w:tcMar/>
            <w:vAlign w:val="center"/>
          </w:tcPr>
          <w:p w:rsidR="6D04D8BE" w:rsidP="47C1863C" w:rsidRDefault="6D04D8BE" w14:paraId="346815C6" w14:textId="20B417B1">
            <w:pPr>
              <w:pStyle w:val="Normal"/>
              <w:bidi w:val="0"/>
              <w:spacing w:before="0" w:beforeAutospacing="off" w:after="0" w:afterAutospacing="off" w:line="259" w:lineRule="auto"/>
              <w:ind w:left="0" w:right="0"/>
              <w:jc w:val="center"/>
              <w:rPr>
                <w:b w:val="0"/>
                <w:bCs w:val="0"/>
                <w:u w:val="none"/>
              </w:rPr>
            </w:pPr>
            <w:r w:rsidR="0288910E">
              <w:rPr>
                <w:b w:val="0"/>
                <w:bCs w:val="0"/>
                <w:u w:val="none"/>
              </w:rPr>
              <w:t>38.0</w:t>
            </w:r>
          </w:p>
        </w:tc>
        <w:tc>
          <w:tcPr>
            <w:tcW w:w="1872" w:type="dxa"/>
            <w:tcMar/>
            <w:vAlign w:val="center"/>
          </w:tcPr>
          <w:p w:rsidR="6D04D8BE" w:rsidP="47C1863C" w:rsidRDefault="6D04D8BE" w14:paraId="686A4997" w14:textId="548CF126">
            <w:pPr>
              <w:pStyle w:val="Normal"/>
              <w:bidi w:val="0"/>
              <w:spacing w:before="0" w:beforeAutospacing="off" w:after="0" w:afterAutospacing="off" w:line="259" w:lineRule="auto"/>
              <w:ind w:left="0" w:right="0"/>
              <w:jc w:val="center"/>
              <w:rPr>
                <w:b w:val="0"/>
                <w:bCs w:val="0"/>
                <w:u w:val="none"/>
              </w:rPr>
            </w:pPr>
            <w:r w:rsidR="0288910E">
              <w:rPr>
                <w:b w:val="0"/>
                <w:bCs w:val="0"/>
                <w:u w:val="none"/>
              </w:rPr>
              <w:t>46.2</w:t>
            </w:r>
          </w:p>
        </w:tc>
      </w:tr>
    </w:tbl>
    <w:p w:rsidR="66901F06" w:rsidP="7A8DC779" w:rsidRDefault="66901F06" w14:paraId="5E3EBAE6" w14:textId="7F818B5F">
      <w:pPr>
        <w:jc w:val="left"/>
      </w:pPr>
    </w:p>
    <w:p w:rsidR="66901F06" w:rsidP="7A8DC779" w:rsidRDefault="66901F06" w14:paraId="6EF18215" w14:textId="54EB0BD5">
      <w:pPr>
        <w:pStyle w:val="Normal"/>
        <w:jc w:val="left"/>
      </w:pPr>
      <w:r w:rsidR="0E99AFEA">
        <w:rPr/>
        <w:t>Some points of interest in the table are Q1-Receive has the highest scoring percentage</w:t>
      </w:r>
      <w:r w:rsidR="7452B8E6">
        <w:rPr/>
        <w:t>,</w:t>
      </w:r>
      <w:r w:rsidR="0E99AFEA">
        <w:rPr/>
        <w:t xml:space="preserve"> ties the highest points-for value even though they have 6 less games played</w:t>
      </w:r>
      <w:r w:rsidR="1267A88A">
        <w:rPr/>
        <w:t xml:space="preserve">, </w:t>
      </w:r>
      <w:proofErr w:type="gramStart"/>
      <w:r w:rsidR="1267A88A">
        <w:rPr/>
        <w:t>and also</w:t>
      </w:r>
      <w:proofErr w:type="gramEnd"/>
      <w:r w:rsidR="1267A88A">
        <w:rPr/>
        <w:t xml:space="preserve"> has the lowest average ending distance to goal</w:t>
      </w:r>
      <w:r w:rsidR="0234D6DE">
        <w:rPr/>
        <w:t>.</w:t>
      </w:r>
    </w:p>
    <w:p w:rsidR="66901F06" w:rsidP="7A8DC779" w:rsidRDefault="66901F06" w14:paraId="6991381C" w14:textId="0F212D52">
      <w:pPr>
        <w:pStyle w:val="Normal"/>
        <w:jc w:val="left"/>
      </w:pPr>
    </w:p>
    <w:p w:rsidR="66901F06" w:rsidP="7A8DC779" w:rsidRDefault="66901F06" w14:paraId="243164C7" w14:textId="362D4A47">
      <w:pPr>
        <w:pStyle w:val="Normal"/>
        <w:jc w:val="left"/>
      </w:pPr>
      <w:r w:rsidRPr="7A8DC779" w:rsidR="7F54F1CA">
        <w:rPr>
          <w:u w:val="single"/>
        </w:rPr>
        <w:t>Average Points Scored</w:t>
      </w:r>
    </w:p>
    <w:p w:rsidR="66901F06" w:rsidP="66901F06" w:rsidRDefault="66901F06" w14:paraId="407E89A7" w14:textId="16E6CA81">
      <w:pPr>
        <w:pStyle w:val="Normal"/>
        <w:rPr>
          <w:b w:val="0"/>
          <w:bCs w:val="0"/>
          <w:u w:val="none"/>
        </w:rPr>
      </w:pPr>
      <w:r w:rsidR="16F32D25">
        <w:rPr>
          <w:b w:val="0"/>
          <w:bCs w:val="0"/>
          <w:u w:val="none"/>
        </w:rPr>
        <w:t xml:space="preserve">Comparing the two outcomes of the coin toss, receiving in the first half and kicking in the second half has a better bottom line. In games where Kansas State received the opening kickoff, they scored </w:t>
      </w:r>
      <w:r w:rsidR="28AD66F9">
        <w:rPr>
          <w:b w:val="0"/>
          <w:bCs w:val="0"/>
          <w:u w:val="none"/>
        </w:rPr>
        <w:t>58</w:t>
      </w:r>
      <w:r w:rsidR="16F32D25">
        <w:rPr>
          <w:b w:val="0"/>
          <w:bCs w:val="0"/>
          <w:u w:val="none"/>
        </w:rPr>
        <w:t>% of the time for a total of 41 points, whereas when they kicked to open the game, they only scored 3</w:t>
      </w:r>
      <w:r w:rsidR="68693CCC">
        <w:rPr>
          <w:b w:val="0"/>
          <w:bCs w:val="0"/>
          <w:u w:val="none"/>
        </w:rPr>
        <w:t>5</w:t>
      </w:r>
      <w:r w:rsidR="16F32D25">
        <w:rPr>
          <w:b w:val="0"/>
          <w:bCs w:val="0"/>
          <w:u w:val="none"/>
        </w:rPr>
        <w:t xml:space="preserve">% of the time on their opening drive for a total of </w:t>
      </w:r>
      <w:r w:rsidR="1135E9F7">
        <w:rPr>
          <w:b w:val="0"/>
          <w:bCs w:val="0"/>
          <w:u w:val="none"/>
        </w:rPr>
        <w:t>45</w:t>
      </w:r>
      <w:r w:rsidR="16F32D25">
        <w:rPr>
          <w:b w:val="0"/>
          <w:bCs w:val="0"/>
          <w:u w:val="none"/>
        </w:rPr>
        <w:t xml:space="preserve"> points. Even though receiving the opening kickoff occurred 6 less times than deferring, </w:t>
      </w:r>
      <w:r w:rsidR="5AF773A8">
        <w:rPr>
          <w:b w:val="0"/>
          <w:bCs w:val="0"/>
          <w:u w:val="none"/>
        </w:rPr>
        <w:t>the total amount of points scored is nearly the same</w:t>
      </w:r>
      <w:r w:rsidR="16F32D25">
        <w:rPr>
          <w:b w:val="0"/>
          <w:bCs w:val="0"/>
          <w:u w:val="none"/>
        </w:rPr>
        <w:t>. The primary thing to highlight here is that the scoring percentage sees little deviation from the 30%</w:t>
      </w:r>
      <w:r w:rsidR="7BB6DEEB">
        <w:rPr>
          <w:b w:val="0"/>
          <w:bCs w:val="0"/>
          <w:u w:val="none"/>
        </w:rPr>
        <w:t xml:space="preserve"> to 40% </w:t>
      </w:r>
      <w:r w:rsidR="16F32D25">
        <w:rPr>
          <w:b w:val="0"/>
          <w:bCs w:val="0"/>
          <w:u w:val="none"/>
        </w:rPr>
        <w:t>range except for one situation: receiving to begin the game.</w:t>
      </w:r>
    </w:p>
    <w:p w:rsidR="66901F06" w:rsidP="02794C21" w:rsidRDefault="66901F06" w14:paraId="0640DB3A" w14:textId="34409018">
      <w:pPr>
        <w:pStyle w:val="Normal"/>
        <w:jc w:val="center"/>
      </w:pPr>
      <w:r w:rsidR="0A20D777">
        <w:drawing>
          <wp:inline wp14:editId="02794C21" wp14:anchorId="4F87E7E0">
            <wp:extent cx="5591175" cy="2993608"/>
            <wp:effectExtent l="0" t="0" r="0" b="0"/>
            <wp:docPr id="1495515018" name="" title=""/>
            <wp:cNvGraphicFramePr>
              <a:graphicFrameLocks noChangeAspect="1"/>
            </wp:cNvGraphicFramePr>
            <a:graphic>
              <a:graphicData uri="http://schemas.openxmlformats.org/drawingml/2006/picture">
                <pic:pic>
                  <pic:nvPicPr>
                    <pic:cNvPr id="0" name=""/>
                    <pic:cNvPicPr/>
                  </pic:nvPicPr>
                  <pic:blipFill>
                    <a:blip r:embed="R016a29815f1a4566">
                      <a:extLst>
                        <a:ext xmlns:a="http://schemas.openxmlformats.org/drawingml/2006/main" uri="{28A0092B-C50C-407E-A947-70E740481C1C}">
                          <a14:useLocalDpi val="0"/>
                        </a:ext>
                      </a:extLst>
                    </a:blip>
                    <a:stretch>
                      <a:fillRect/>
                    </a:stretch>
                  </pic:blipFill>
                  <pic:spPr>
                    <a:xfrm>
                      <a:off x="0" y="0"/>
                      <a:ext cx="5591175" cy="2993608"/>
                    </a:xfrm>
                    <a:prstGeom prst="rect">
                      <a:avLst/>
                    </a:prstGeom>
                  </pic:spPr>
                </pic:pic>
              </a:graphicData>
            </a:graphic>
          </wp:inline>
        </w:drawing>
      </w:r>
    </w:p>
    <w:p w:rsidR="0506EAE1" w:rsidP="7A8DC779" w:rsidRDefault="0506EAE1" w14:paraId="675AE652" w14:textId="1FE73249">
      <w:pPr>
        <w:pStyle w:val="Normal"/>
        <w:jc w:val="center"/>
      </w:pPr>
      <w:r w:rsidRPr="7A8DC779" w:rsidR="0506EAE1">
        <w:rPr>
          <w:sz w:val="16"/>
          <w:szCs w:val="16"/>
        </w:rPr>
        <w:t>Figure 1: Q1/Q3 Avg Points Scored by Year and Defer/Receive</w:t>
      </w:r>
    </w:p>
    <w:p w:rsidR="2BAB213B" w:rsidP="7A8DC779" w:rsidRDefault="2BAB213B" w14:paraId="2B9CA49E" w14:textId="64527F96">
      <w:pPr>
        <w:pStyle w:val="Normal"/>
        <w:rPr>
          <w:b w:val="0"/>
          <w:bCs w:val="0"/>
          <w:u w:val="none"/>
        </w:rPr>
      </w:pPr>
      <w:r w:rsidR="2BAB213B">
        <w:rPr>
          <w:b w:val="0"/>
          <w:bCs w:val="0"/>
          <w:u w:val="none"/>
        </w:rPr>
        <w:t>One interesting thing about this graph is in a non-COVID year (2019, 2021) receiving the opening kickoff is always better overall. While the sample size is very small, 2020 could be an</w:t>
      </w:r>
      <w:r w:rsidR="6CB2DAB4">
        <w:rPr>
          <w:b w:val="0"/>
          <w:bCs w:val="0"/>
          <w:u w:val="none"/>
        </w:rPr>
        <w:t xml:space="preserve"> outlier in the lack of production overall </w:t>
      </w:r>
      <w:proofErr w:type="gramStart"/>
      <w:r w:rsidR="6CB2DAB4">
        <w:rPr>
          <w:b w:val="0"/>
          <w:bCs w:val="0"/>
          <w:u w:val="none"/>
        </w:rPr>
        <w:t>and also</w:t>
      </w:r>
      <w:proofErr w:type="gramEnd"/>
      <w:r w:rsidR="6CB2DAB4">
        <w:rPr>
          <w:b w:val="0"/>
          <w:bCs w:val="0"/>
          <w:u w:val="none"/>
        </w:rPr>
        <w:t xml:space="preserve"> for Q1. </w:t>
      </w:r>
      <w:r w:rsidR="5EB4DE57">
        <w:rPr>
          <w:b w:val="0"/>
          <w:bCs w:val="0"/>
          <w:u w:val="none"/>
        </w:rPr>
        <w:t>Combining COVID and</w:t>
      </w:r>
      <w:r w:rsidR="6CB2DAB4">
        <w:rPr>
          <w:b w:val="0"/>
          <w:bCs w:val="0"/>
          <w:u w:val="none"/>
        </w:rPr>
        <w:t xml:space="preserve"> how then true freshman Will </w:t>
      </w:r>
      <w:r w:rsidR="3D831ECE">
        <w:rPr>
          <w:b w:val="0"/>
          <w:bCs w:val="0"/>
          <w:u w:val="none"/>
        </w:rPr>
        <w:t>Howard stepped in for an injured Skylar Thompson</w:t>
      </w:r>
      <w:r w:rsidR="1E2FA11E">
        <w:rPr>
          <w:b w:val="0"/>
          <w:bCs w:val="0"/>
          <w:u w:val="none"/>
        </w:rPr>
        <w:t>, this seems more likely than not. Again, a small sample size makes this difficult to tell.</w:t>
      </w:r>
    </w:p>
    <w:p w:rsidR="7A8DC779" w:rsidP="7A8DC779" w:rsidRDefault="7A8DC779" w14:paraId="1D8F2A9B" w14:textId="34AF8C75">
      <w:pPr>
        <w:pStyle w:val="Normal"/>
        <w:rPr>
          <w:b w:val="0"/>
          <w:bCs w:val="0"/>
          <w:u w:val="none"/>
        </w:rPr>
      </w:pPr>
    </w:p>
    <w:p w:rsidR="17B67BEB" w:rsidP="7A8DC779" w:rsidRDefault="17B67BEB" w14:paraId="54A296C9" w14:textId="1A751DE0">
      <w:pPr>
        <w:pStyle w:val="Normal"/>
        <w:rPr>
          <w:b w:val="0"/>
          <w:bCs w:val="0"/>
          <w:u w:val="none"/>
        </w:rPr>
      </w:pPr>
      <w:r w:rsidRPr="7A8DC779" w:rsidR="17B67BEB">
        <w:rPr>
          <w:b w:val="0"/>
          <w:bCs w:val="0"/>
          <w:u w:val="single"/>
        </w:rPr>
        <w:t>Average Ending Distance</w:t>
      </w:r>
    </w:p>
    <w:p w:rsidR="78398610" w:rsidP="7A8DC779" w:rsidRDefault="78398610" w14:paraId="08C05667" w14:textId="423DD9BD">
      <w:pPr>
        <w:pStyle w:val="Normal"/>
        <w:rPr>
          <w:b w:val="0"/>
          <w:bCs w:val="0"/>
          <w:u w:val="none"/>
        </w:rPr>
      </w:pPr>
      <w:r w:rsidR="43739ED4">
        <w:rPr>
          <w:b w:val="0"/>
          <w:bCs w:val="0"/>
          <w:u w:val="none"/>
        </w:rPr>
        <w:t>Let’s say Kansas State had a great drive, but for whatever reason could not finish the drive even though they did drive down the field. Defining drive success this way, we can compare the average ending distance, measured by yards to the opponent’s endzone.</w:t>
      </w:r>
    </w:p>
    <w:p w:rsidR="1265B42B" w:rsidP="7A8DC779" w:rsidRDefault="1265B42B" w14:paraId="1FF34190" w14:textId="7EC3BEF8">
      <w:pPr>
        <w:pStyle w:val="Normal"/>
        <w:jc w:val="center"/>
      </w:pPr>
      <w:r w:rsidR="0CC8D3FA">
        <w:drawing>
          <wp:inline wp14:editId="7B4F219E" wp14:anchorId="0A264550">
            <wp:extent cx="5276850" cy="2847300"/>
            <wp:effectExtent l="0" t="0" r="0" b="0"/>
            <wp:docPr id="354379144" name="" title=""/>
            <wp:cNvGraphicFramePr>
              <a:graphicFrameLocks noChangeAspect="1"/>
            </wp:cNvGraphicFramePr>
            <a:graphic>
              <a:graphicData uri="http://schemas.openxmlformats.org/drawingml/2006/picture">
                <pic:pic>
                  <pic:nvPicPr>
                    <pic:cNvPr id="0" name=""/>
                    <pic:cNvPicPr/>
                  </pic:nvPicPr>
                  <pic:blipFill>
                    <a:blip r:embed="Rbbc4134ce555446b">
                      <a:extLst>
                        <a:ext xmlns:a="http://schemas.openxmlformats.org/drawingml/2006/main" uri="{28A0092B-C50C-407E-A947-70E740481C1C}">
                          <a14:useLocalDpi val="0"/>
                        </a:ext>
                      </a:extLst>
                    </a:blip>
                    <a:stretch>
                      <a:fillRect/>
                    </a:stretch>
                  </pic:blipFill>
                  <pic:spPr>
                    <a:xfrm>
                      <a:off x="0" y="0"/>
                      <a:ext cx="5276850" cy="2847300"/>
                    </a:xfrm>
                    <a:prstGeom prst="rect">
                      <a:avLst/>
                    </a:prstGeom>
                  </pic:spPr>
                </pic:pic>
              </a:graphicData>
            </a:graphic>
          </wp:inline>
        </w:drawing>
      </w:r>
    </w:p>
    <w:p w:rsidR="239B226D" w:rsidP="7E264C37" w:rsidRDefault="239B226D" w14:paraId="22C7BEDA" w14:textId="5ADCB8D9">
      <w:pPr>
        <w:pStyle w:val="Normal"/>
        <w:jc w:val="center"/>
        <w:rPr>
          <w:sz w:val="16"/>
          <w:szCs w:val="16"/>
        </w:rPr>
      </w:pPr>
      <w:r w:rsidRPr="02794C21" w:rsidR="68FC68B3">
        <w:rPr>
          <w:sz w:val="16"/>
          <w:szCs w:val="16"/>
        </w:rPr>
        <w:t>Figure 2: Average Distance to Goal by Year and Coin Flip Result</w:t>
      </w:r>
    </w:p>
    <w:p w:rsidR="239B226D" w:rsidP="240970A4" w:rsidRDefault="239B226D" w14:paraId="7DED6A5C" w14:textId="4E41956A">
      <w:pPr>
        <w:pStyle w:val="Normal"/>
        <w:jc w:val="center"/>
      </w:pPr>
      <w:r w:rsidR="78644138">
        <w:drawing>
          <wp:inline wp14:editId="05BF654D" wp14:anchorId="2C2DA763">
            <wp:extent cx="4572000" cy="2457450"/>
            <wp:effectExtent l="0" t="0" r="0" b="0"/>
            <wp:docPr id="154626042" name="" title=""/>
            <wp:cNvGraphicFramePr>
              <a:graphicFrameLocks noChangeAspect="1"/>
            </wp:cNvGraphicFramePr>
            <a:graphic>
              <a:graphicData uri="http://schemas.openxmlformats.org/drawingml/2006/picture">
                <pic:pic>
                  <pic:nvPicPr>
                    <pic:cNvPr id="0" name=""/>
                    <pic:cNvPicPr/>
                  </pic:nvPicPr>
                  <pic:blipFill>
                    <a:blip r:embed="R1ca4f1dda77e41ba">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7514ABFD" w:rsidP="7E264C37" w:rsidRDefault="7514ABFD" w14:paraId="6CA74047" w14:textId="3E2F9926">
      <w:pPr>
        <w:pStyle w:val="Normal"/>
        <w:jc w:val="center"/>
      </w:pPr>
      <w:r w:rsidR="7514ABFD">
        <w:rPr/>
        <w:t>Figure 3: Average Distance to Goal by Year and Coin Flip Result (Field View)</w:t>
      </w:r>
    </w:p>
    <w:p w:rsidR="7E264C37" w:rsidP="7E264C37" w:rsidRDefault="7E264C37" w14:paraId="36897C29" w14:textId="4EEC10BD">
      <w:pPr>
        <w:pStyle w:val="Normal"/>
        <w:jc w:val="center"/>
        <w:rPr>
          <w:sz w:val="16"/>
          <w:szCs w:val="16"/>
        </w:rPr>
      </w:pPr>
    </w:p>
    <w:p w:rsidR="058FC54F" w:rsidP="66901F06" w:rsidRDefault="058FC54F" w14:paraId="53D269E3" w14:textId="148B2BC4">
      <w:pPr>
        <w:pStyle w:val="Normal"/>
        <w:rPr>
          <w:b w:val="0"/>
          <w:bCs w:val="0"/>
          <w:u w:val="none"/>
        </w:rPr>
      </w:pPr>
      <w:r w:rsidR="7C72F94D">
        <w:rPr>
          <w:b w:val="0"/>
          <w:bCs w:val="0"/>
          <w:u w:val="none"/>
        </w:rPr>
        <w:t xml:space="preserve"> When Kansas State receives the first half kickoff, they have an average ending distance of </w:t>
      </w:r>
      <w:r w:rsidR="55568613">
        <w:rPr>
          <w:b w:val="0"/>
          <w:bCs w:val="0"/>
          <w:u w:val="none"/>
        </w:rPr>
        <w:t>22.5</w:t>
      </w:r>
      <w:r w:rsidR="7C72F94D">
        <w:rPr>
          <w:b w:val="0"/>
          <w:bCs w:val="0"/>
          <w:u w:val="none"/>
        </w:rPr>
        <w:t xml:space="preserve"> </w:t>
      </w:r>
      <w:r w:rsidR="7C72F94D">
        <w:rPr>
          <w:b w:val="0"/>
          <w:bCs w:val="0"/>
          <w:u w:val="none"/>
        </w:rPr>
        <w:t xml:space="preserve">yards and </w:t>
      </w:r>
      <w:r w:rsidR="109188CB">
        <w:rPr>
          <w:b w:val="0"/>
          <w:bCs w:val="0"/>
          <w:u w:val="none"/>
        </w:rPr>
        <w:t>4</w:t>
      </w:r>
      <w:r w:rsidR="021D7550">
        <w:rPr>
          <w:b w:val="0"/>
          <w:bCs w:val="0"/>
          <w:u w:val="none"/>
        </w:rPr>
        <w:t>7.3</w:t>
      </w:r>
      <w:r w:rsidR="109188CB">
        <w:rPr>
          <w:b w:val="0"/>
          <w:bCs w:val="0"/>
          <w:u w:val="none"/>
        </w:rPr>
        <w:t xml:space="preserve"> </w:t>
      </w:r>
      <w:r w:rsidR="7C72F94D">
        <w:rPr>
          <w:b w:val="0"/>
          <w:bCs w:val="0"/>
          <w:u w:val="none"/>
        </w:rPr>
        <w:t xml:space="preserve">yards in the first and third </w:t>
      </w:r>
      <w:r w:rsidR="5BC56BE6">
        <w:rPr>
          <w:b w:val="0"/>
          <w:bCs w:val="0"/>
          <w:u w:val="none"/>
        </w:rPr>
        <w:t xml:space="preserve">quarters, respectively. This can be compared to if Kansas State was to kick to start the game and receive the second half kickoff in which they average ending at </w:t>
      </w:r>
      <w:r w:rsidR="0E84826B">
        <w:rPr>
          <w:b w:val="0"/>
          <w:bCs w:val="0"/>
          <w:u w:val="none"/>
        </w:rPr>
        <w:t>38.</w:t>
      </w:r>
      <w:r w:rsidR="0052630A">
        <w:rPr>
          <w:b w:val="0"/>
          <w:bCs w:val="0"/>
          <w:u w:val="none"/>
        </w:rPr>
        <w:t>0</w:t>
      </w:r>
      <w:r w:rsidR="5BC56BE6">
        <w:rPr>
          <w:b w:val="0"/>
          <w:bCs w:val="0"/>
          <w:u w:val="none"/>
        </w:rPr>
        <w:t xml:space="preserve"> yards and </w:t>
      </w:r>
      <w:r w:rsidR="4F64ACFF">
        <w:rPr>
          <w:b w:val="0"/>
          <w:bCs w:val="0"/>
          <w:u w:val="none"/>
        </w:rPr>
        <w:t>4</w:t>
      </w:r>
      <w:r w:rsidR="44BF43A3">
        <w:rPr>
          <w:b w:val="0"/>
          <w:bCs w:val="0"/>
          <w:u w:val="none"/>
        </w:rPr>
        <w:t>6.2</w:t>
      </w:r>
      <w:r w:rsidR="5BC56BE6">
        <w:rPr>
          <w:b w:val="0"/>
          <w:bCs w:val="0"/>
          <w:u w:val="none"/>
        </w:rPr>
        <w:t xml:space="preserve"> yards away in </w:t>
      </w:r>
      <w:r w:rsidR="417E74E3">
        <w:rPr>
          <w:b w:val="0"/>
          <w:bCs w:val="0"/>
          <w:u w:val="none"/>
        </w:rPr>
        <w:t>quarters 1 and 3, respectively.</w:t>
      </w:r>
      <w:r w:rsidR="74D9D5F2">
        <w:rPr>
          <w:b w:val="0"/>
          <w:bCs w:val="0"/>
          <w:u w:val="none"/>
        </w:rPr>
        <w:t xml:space="preserve"> Again, Kansas State does abnormally well in the opening drive of the game when receiving comparatively to all other situations. Even if Kansas State does not score a touchdown on </w:t>
      </w:r>
      <w:r w:rsidR="31261B9C">
        <w:rPr>
          <w:b w:val="0"/>
          <w:bCs w:val="0"/>
          <w:u w:val="none"/>
        </w:rPr>
        <w:t>any given drive, the ending distance for receiving the opening kickoff c</w:t>
      </w:r>
      <w:r w:rsidR="67AF68B2">
        <w:rPr>
          <w:b w:val="0"/>
          <w:bCs w:val="0"/>
          <w:u w:val="none"/>
        </w:rPr>
        <w:t xml:space="preserve">reates on average </w:t>
      </w:r>
      <w:r w:rsidR="31261B9C">
        <w:rPr>
          <w:b w:val="0"/>
          <w:bCs w:val="0"/>
          <w:u w:val="none"/>
        </w:rPr>
        <w:t xml:space="preserve">about </w:t>
      </w:r>
      <w:r w:rsidR="31261B9C">
        <w:rPr>
          <w:b w:val="0"/>
          <w:bCs w:val="0"/>
          <w:u w:val="none"/>
        </w:rPr>
        <w:t xml:space="preserve">a </w:t>
      </w:r>
      <w:r w:rsidR="6148D24E">
        <w:rPr>
          <w:b w:val="0"/>
          <w:bCs w:val="0"/>
          <w:u w:val="none"/>
        </w:rPr>
        <w:t>40</w:t>
      </w:r>
      <w:r w:rsidR="31261B9C">
        <w:rPr>
          <w:b w:val="0"/>
          <w:bCs w:val="0"/>
          <w:u w:val="none"/>
        </w:rPr>
        <w:t>-yard field goal, while the other situations</w:t>
      </w:r>
      <w:r w:rsidR="31261B9C">
        <w:rPr>
          <w:b w:val="0"/>
          <w:bCs w:val="0"/>
          <w:u w:val="none"/>
        </w:rPr>
        <w:t xml:space="preserve"> </w:t>
      </w:r>
      <w:r w:rsidR="718E0FCE">
        <w:rPr>
          <w:b w:val="0"/>
          <w:bCs w:val="0"/>
          <w:u w:val="none"/>
        </w:rPr>
        <w:t>force K-State to punt the ball.</w:t>
      </w:r>
    </w:p>
    <w:p w:rsidR="66901F06" w:rsidP="66901F06" w:rsidRDefault="66901F06" w14:paraId="0DE44660" w14:textId="3AA683C9">
      <w:pPr>
        <w:pStyle w:val="Normal"/>
        <w:rPr>
          <w:b w:val="0"/>
          <w:bCs w:val="0"/>
          <w:u w:val="none"/>
        </w:rPr>
      </w:pPr>
    </w:p>
    <w:p w:rsidR="74505876" w:rsidP="66901F06" w:rsidRDefault="74505876" w14:paraId="65C2D4C9" w14:textId="6FCE74A8">
      <w:pPr>
        <w:pStyle w:val="Normal"/>
        <w:rPr>
          <w:b w:val="0"/>
          <w:bCs w:val="0"/>
          <w:u w:val="none"/>
        </w:rPr>
      </w:pPr>
      <w:r w:rsidRPr="7A8DC779" w:rsidR="74505876">
        <w:rPr>
          <w:b w:val="1"/>
          <w:bCs w:val="1"/>
          <w:u w:val="single"/>
        </w:rPr>
        <w:t>RECOMMENDATION</w:t>
      </w:r>
    </w:p>
    <w:p w:rsidR="05228E5B" w:rsidP="7A8DC779" w:rsidRDefault="05228E5B" w14:paraId="56B0F438" w14:textId="0EC0BE34">
      <w:pPr>
        <w:pStyle w:val="Normal"/>
        <w:rPr>
          <w:b w:val="0"/>
          <w:bCs w:val="0"/>
          <w:u w:val="none"/>
        </w:rPr>
      </w:pPr>
      <w:r w:rsidR="05228E5B">
        <w:rPr>
          <w:b w:val="0"/>
          <w:bCs w:val="0"/>
          <w:u w:val="none"/>
        </w:rPr>
        <w:t>Since there is no large variance between 3</w:t>
      </w:r>
      <w:r w:rsidRPr="7A8DC779" w:rsidR="05228E5B">
        <w:rPr>
          <w:b w:val="0"/>
          <w:bCs w:val="0"/>
          <w:u w:val="none"/>
          <w:vertAlign w:val="superscript"/>
        </w:rPr>
        <w:t>rd</w:t>
      </w:r>
      <w:r w:rsidR="05228E5B">
        <w:rPr>
          <w:b w:val="0"/>
          <w:bCs w:val="0"/>
          <w:u w:val="none"/>
        </w:rPr>
        <w:t xml:space="preserve"> quarter drives in both a deferring and receiving case as well as a 1</w:t>
      </w:r>
      <w:r w:rsidRPr="7A8DC779" w:rsidR="05228E5B">
        <w:rPr>
          <w:b w:val="0"/>
          <w:bCs w:val="0"/>
          <w:u w:val="none"/>
          <w:vertAlign w:val="superscript"/>
        </w:rPr>
        <w:t>st</w:t>
      </w:r>
      <w:r w:rsidR="05228E5B">
        <w:rPr>
          <w:b w:val="0"/>
          <w:bCs w:val="0"/>
          <w:u w:val="none"/>
        </w:rPr>
        <w:t xml:space="preserve"> quarter in a defer case, the main thing to look at is the outlier: 1</w:t>
      </w:r>
      <w:r w:rsidRPr="7A8DC779" w:rsidR="05228E5B">
        <w:rPr>
          <w:b w:val="0"/>
          <w:bCs w:val="0"/>
          <w:u w:val="none"/>
          <w:vertAlign w:val="superscript"/>
        </w:rPr>
        <w:t>st</w:t>
      </w:r>
      <w:r w:rsidR="05228E5B">
        <w:rPr>
          <w:b w:val="0"/>
          <w:bCs w:val="0"/>
          <w:u w:val="none"/>
        </w:rPr>
        <w:t xml:space="preserve"> quar</w:t>
      </w:r>
      <w:r w:rsidR="43C7738C">
        <w:rPr>
          <w:b w:val="0"/>
          <w:bCs w:val="0"/>
          <w:u w:val="none"/>
        </w:rPr>
        <w:t>ter opening drive success when receiving the kickoff. It has</w:t>
      </w:r>
      <w:r w:rsidR="17551DA1">
        <w:rPr>
          <w:b w:val="0"/>
          <w:bCs w:val="0"/>
          <w:u w:val="none"/>
        </w:rPr>
        <w:t xml:space="preserve"> had</w:t>
      </w:r>
      <w:r w:rsidR="43C7738C">
        <w:rPr>
          <w:b w:val="0"/>
          <w:bCs w:val="0"/>
          <w:u w:val="none"/>
        </w:rPr>
        <w:t xml:space="preserve"> </w:t>
      </w:r>
      <w:r w:rsidR="6C31336D">
        <w:rPr>
          <w:b w:val="0"/>
          <w:bCs w:val="0"/>
          <w:u w:val="none"/>
        </w:rPr>
        <w:t>sustained</w:t>
      </w:r>
      <w:r w:rsidR="43C7738C">
        <w:rPr>
          <w:b w:val="0"/>
          <w:bCs w:val="0"/>
          <w:u w:val="none"/>
        </w:rPr>
        <w:t xml:space="preserve"> success and puts Kansas State in a position to win more football games. </w:t>
      </w:r>
      <w:proofErr w:type="gramStart"/>
      <w:r w:rsidR="43C7738C">
        <w:rPr>
          <w:b w:val="0"/>
          <w:bCs w:val="0"/>
          <w:u w:val="none"/>
        </w:rPr>
        <w:t xml:space="preserve">All that being said, </w:t>
      </w:r>
      <w:r w:rsidRPr="7A8DC779" w:rsidR="43C7738C">
        <w:rPr>
          <w:b w:val="1"/>
          <w:bCs w:val="1"/>
          <w:u w:val="none"/>
        </w:rPr>
        <w:t>we</w:t>
      </w:r>
      <w:proofErr w:type="gramEnd"/>
      <w:r w:rsidRPr="7A8DC779" w:rsidR="43C7738C">
        <w:rPr>
          <w:b w:val="1"/>
          <w:bCs w:val="1"/>
          <w:u w:val="none"/>
        </w:rPr>
        <w:t xml:space="preserve"> recommend that if Kansas State wins the toss, elect to receive the first-half kickoff.</w:t>
      </w:r>
      <w:r w:rsidR="58B0386F">
        <w:rPr>
          <w:b w:val="0"/>
          <w:bCs w:val="0"/>
          <w:u w:val="none"/>
        </w:rPr>
        <w:t xml:space="preserve"> </w:t>
      </w:r>
    </w:p>
    <w:p w:rsidR="66901F06" w:rsidP="66901F06" w:rsidRDefault="66901F06" w14:paraId="2D086045" w14:textId="29987552">
      <w:pPr>
        <w:pStyle w:val="Normal"/>
        <w:rPr>
          <w:b w:val="0"/>
          <w:bCs w:val="0"/>
          <w:u w:val="none"/>
        </w:rPr>
      </w:pPr>
    </w:p>
    <w:p w:rsidR="74505876" w:rsidP="66901F06" w:rsidRDefault="74505876" w14:paraId="3F58FC4D" w14:textId="1225BB69">
      <w:pPr>
        <w:pStyle w:val="Normal"/>
        <w:rPr>
          <w:b w:val="0"/>
          <w:bCs w:val="0"/>
          <w:u w:val="none"/>
        </w:rPr>
      </w:pPr>
      <w:r w:rsidRPr="7A8DC779" w:rsidR="74505876">
        <w:rPr>
          <w:b w:val="1"/>
          <w:bCs w:val="1"/>
          <w:u w:val="single"/>
        </w:rPr>
        <w:t>FUTURE WORK</w:t>
      </w:r>
    </w:p>
    <w:p w:rsidR="746E5C60" w:rsidP="7A8DC779" w:rsidRDefault="746E5C60" w14:paraId="3091BA30" w14:textId="309227C2">
      <w:pPr>
        <w:pStyle w:val="Normal"/>
        <w:bidi w:val="0"/>
        <w:spacing w:before="0" w:beforeAutospacing="off" w:after="160" w:afterAutospacing="off" w:line="259" w:lineRule="auto"/>
        <w:ind w:left="0" w:right="0"/>
        <w:jc w:val="left"/>
        <w:rPr>
          <w:b w:val="0"/>
          <w:bCs w:val="0"/>
          <w:u w:val="none"/>
        </w:rPr>
      </w:pPr>
      <w:r w:rsidR="746E5C60">
        <w:rPr>
          <w:b w:val="0"/>
          <w:bCs w:val="0"/>
          <w:u w:val="none"/>
        </w:rPr>
        <w:t>Our senior design team’s primary objective is to identify potential root causes for Kansas State’s 3</w:t>
      </w:r>
      <w:r w:rsidRPr="7A8DC779" w:rsidR="746E5C60">
        <w:rPr>
          <w:b w:val="0"/>
          <w:bCs w:val="0"/>
          <w:u w:val="none"/>
          <w:vertAlign w:val="superscript"/>
        </w:rPr>
        <w:t>rd</w:t>
      </w:r>
      <w:r w:rsidR="746E5C60">
        <w:rPr>
          <w:b w:val="0"/>
          <w:bCs w:val="0"/>
          <w:u w:val="none"/>
        </w:rPr>
        <w:t xml:space="preserve"> quarter offensive struggles using a data-driven approach. </w:t>
      </w:r>
      <w:r w:rsidR="2EE5DF07">
        <w:rPr>
          <w:b w:val="0"/>
          <w:bCs w:val="0"/>
          <w:u w:val="none"/>
        </w:rPr>
        <w:t>In improving that, this would emphasize the upside of receiving the opening kickoff</w:t>
      </w:r>
      <w:r w:rsidR="4AA402F8">
        <w:rPr>
          <w:b w:val="0"/>
          <w:bCs w:val="0"/>
          <w:u w:val="none"/>
        </w:rPr>
        <w:t xml:space="preserve"> since the first quarter would be of primary concern in that case. Overall, this is something that needs to be continually monitored to identify different trends in the data.</w:t>
      </w:r>
    </w:p>
    <w:p w:rsidR="66901F06" w:rsidP="66901F06" w:rsidRDefault="66901F06" w14:paraId="1349BE40" w14:textId="09F832CC">
      <w:pPr>
        <w:pStyle w:val="Normal"/>
        <w:rPr>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20E6F6"/>
    <w:rsid w:val="00360624"/>
    <w:rsid w:val="0052630A"/>
    <w:rsid w:val="00948815"/>
    <w:rsid w:val="00D21F67"/>
    <w:rsid w:val="01A0F160"/>
    <w:rsid w:val="020AB81C"/>
    <w:rsid w:val="021D7550"/>
    <w:rsid w:val="021E44EE"/>
    <w:rsid w:val="0234D6DE"/>
    <w:rsid w:val="02794C21"/>
    <w:rsid w:val="027FB102"/>
    <w:rsid w:val="02879E88"/>
    <w:rsid w:val="0288910E"/>
    <w:rsid w:val="044E8A3F"/>
    <w:rsid w:val="04A850FE"/>
    <w:rsid w:val="0506EAE1"/>
    <w:rsid w:val="05228E5B"/>
    <w:rsid w:val="058FC54F"/>
    <w:rsid w:val="05CB7D04"/>
    <w:rsid w:val="06B3BA5F"/>
    <w:rsid w:val="072BA39A"/>
    <w:rsid w:val="07B9A85B"/>
    <w:rsid w:val="07F70A87"/>
    <w:rsid w:val="0868B31D"/>
    <w:rsid w:val="08C2FCB0"/>
    <w:rsid w:val="0921FB62"/>
    <w:rsid w:val="09AF1662"/>
    <w:rsid w:val="09B61F1E"/>
    <w:rsid w:val="09EB5B21"/>
    <w:rsid w:val="0A20D777"/>
    <w:rsid w:val="0A863781"/>
    <w:rsid w:val="0A92B06D"/>
    <w:rsid w:val="0A95BD53"/>
    <w:rsid w:val="0B872B82"/>
    <w:rsid w:val="0B973DFD"/>
    <w:rsid w:val="0C3C5671"/>
    <w:rsid w:val="0CC8D3FA"/>
    <w:rsid w:val="0CDDA268"/>
    <w:rsid w:val="0E6E3991"/>
    <w:rsid w:val="0E84826B"/>
    <w:rsid w:val="0E99AFEA"/>
    <w:rsid w:val="0EDEAC44"/>
    <w:rsid w:val="0F14513E"/>
    <w:rsid w:val="0F913CE6"/>
    <w:rsid w:val="0FAFCCB0"/>
    <w:rsid w:val="1015432A"/>
    <w:rsid w:val="106BD77C"/>
    <w:rsid w:val="109188CB"/>
    <w:rsid w:val="10DCB702"/>
    <w:rsid w:val="10ECCDE5"/>
    <w:rsid w:val="10F7E4AF"/>
    <w:rsid w:val="1135E9F7"/>
    <w:rsid w:val="1207A7DD"/>
    <w:rsid w:val="120F9563"/>
    <w:rsid w:val="122D7C2A"/>
    <w:rsid w:val="1256FD87"/>
    <w:rsid w:val="1265B42B"/>
    <w:rsid w:val="1267A88A"/>
    <w:rsid w:val="12B4D79B"/>
    <w:rsid w:val="13A3783E"/>
    <w:rsid w:val="13E32558"/>
    <w:rsid w:val="143992B3"/>
    <w:rsid w:val="147A37B4"/>
    <w:rsid w:val="14833DD3"/>
    <w:rsid w:val="1674B6C2"/>
    <w:rsid w:val="16F32D25"/>
    <w:rsid w:val="16FA4D67"/>
    <w:rsid w:val="17551DA1"/>
    <w:rsid w:val="17A2C59A"/>
    <w:rsid w:val="17B67BEB"/>
    <w:rsid w:val="17ED584F"/>
    <w:rsid w:val="1865AE8A"/>
    <w:rsid w:val="187ED6E7"/>
    <w:rsid w:val="1883B649"/>
    <w:rsid w:val="1A12B9C2"/>
    <w:rsid w:val="1A1AA748"/>
    <w:rsid w:val="1A3AECD6"/>
    <w:rsid w:val="1AA38DEC"/>
    <w:rsid w:val="1C73D3BA"/>
    <w:rsid w:val="1D1BA408"/>
    <w:rsid w:val="1E0D08E8"/>
    <w:rsid w:val="1E2FA11E"/>
    <w:rsid w:val="1E42D4B0"/>
    <w:rsid w:val="1EE62AE5"/>
    <w:rsid w:val="1F60C34A"/>
    <w:rsid w:val="1F835986"/>
    <w:rsid w:val="201B5E8B"/>
    <w:rsid w:val="2022DB77"/>
    <w:rsid w:val="2081FB46"/>
    <w:rsid w:val="2089E8CC"/>
    <w:rsid w:val="21B3A558"/>
    <w:rsid w:val="22F84773"/>
    <w:rsid w:val="23112411"/>
    <w:rsid w:val="239B226D"/>
    <w:rsid w:val="240970A4"/>
    <w:rsid w:val="243F0BCA"/>
    <w:rsid w:val="24B9C8E9"/>
    <w:rsid w:val="252A5113"/>
    <w:rsid w:val="254E2F34"/>
    <w:rsid w:val="25EB54AC"/>
    <w:rsid w:val="25F98020"/>
    <w:rsid w:val="26F13CCA"/>
    <w:rsid w:val="274748B0"/>
    <w:rsid w:val="277B44AD"/>
    <w:rsid w:val="27CBD760"/>
    <w:rsid w:val="287D8F4B"/>
    <w:rsid w:val="28AD66F9"/>
    <w:rsid w:val="28F419C1"/>
    <w:rsid w:val="2924B21B"/>
    <w:rsid w:val="29400DA8"/>
    <w:rsid w:val="29C71002"/>
    <w:rsid w:val="2A63AC85"/>
    <w:rsid w:val="2A864266"/>
    <w:rsid w:val="2B3E8423"/>
    <w:rsid w:val="2BAB213B"/>
    <w:rsid w:val="2BC2183F"/>
    <w:rsid w:val="2BCC9B73"/>
    <w:rsid w:val="2BD0F54F"/>
    <w:rsid w:val="2C41C13D"/>
    <w:rsid w:val="2D38A5D3"/>
    <w:rsid w:val="2D686BD4"/>
    <w:rsid w:val="2E075991"/>
    <w:rsid w:val="2E1955EF"/>
    <w:rsid w:val="2E29DE0D"/>
    <w:rsid w:val="2E31CB93"/>
    <w:rsid w:val="2E43FC91"/>
    <w:rsid w:val="2E5A4D4B"/>
    <w:rsid w:val="2EAC10F9"/>
    <w:rsid w:val="2EE5DF07"/>
    <w:rsid w:val="2F55F5AB"/>
    <w:rsid w:val="30FC6A5D"/>
    <w:rsid w:val="31261B9C"/>
    <w:rsid w:val="31696C55"/>
    <w:rsid w:val="323A8D9C"/>
    <w:rsid w:val="33BBA55C"/>
    <w:rsid w:val="33EF68D2"/>
    <w:rsid w:val="342F6481"/>
    <w:rsid w:val="342FCD71"/>
    <w:rsid w:val="34488CDE"/>
    <w:rsid w:val="3463D967"/>
    <w:rsid w:val="34991F91"/>
    <w:rsid w:val="34C0559F"/>
    <w:rsid w:val="354C51E3"/>
    <w:rsid w:val="35D96FFE"/>
    <w:rsid w:val="371A92B0"/>
    <w:rsid w:val="371A92B0"/>
    <w:rsid w:val="38726ED5"/>
    <w:rsid w:val="3878A410"/>
    <w:rsid w:val="391BFE01"/>
    <w:rsid w:val="39387BCA"/>
    <w:rsid w:val="39B806B1"/>
    <w:rsid w:val="39F72DC7"/>
    <w:rsid w:val="3A46EEDC"/>
    <w:rsid w:val="3A56F029"/>
    <w:rsid w:val="3AA57D4D"/>
    <w:rsid w:val="3AA93F9D"/>
    <w:rsid w:val="3AB08820"/>
    <w:rsid w:val="3ABFE961"/>
    <w:rsid w:val="3AEB89EB"/>
    <w:rsid w:val="3B72339C"/>
    <w:rsid w:val="3BC996E0"/>
    <w:rsid w:val="3D831ECE"/>
    <w:rsid w:val="3D96877A"/>
    <w:rsid w:val="3DDEDCBC"/>
    <w:rsid w:val="3E47EF5D"/>
    <w:rsid w:val="3EDA8783"/>
    <w:rsid w:val="3F8C4837"/>
    <w:rsid w:val="40254BDF"/>
    <w:rsid w:val="40AE4AA2"/>
    <w:rsid w:val="417E74E3"/>
    <w:rsid w:val="41915C76"/>
    <w:rsid w:val="433A7F56"/>
    <w:rsid w:val="43567EC5"/>
    <w:rsid w:val="43739ED4"/>
    <w:rsid w:val="43840FBD"/>
    <w:rsid w:val="43C7738C"/>
    <w:rsid w:val="4440BA2B"/>
    <w:rsid w:val="447DCA49"/>
    <w:rsid w:val="44A94FC9"/>
    <w:rsid w:val="44BF43A3"/>
    <w:rsid w:val="4581DB14"/>
    <w:rsid w:val="45D943B4"/>
    <w:rsid w:val="45FC6B2A"/>
    <w:rsid w:val="4625B5DB"/>
    <w:rsid w:val="46BC8872"/>
    <w:rsid w:val="475C30D9"/>
    <w:rsid w:val="475EBCAF"/>
    <w:rsid w:val="47904FCB"/>
    <w:rsid w:val="47C1863C"/>
    <w:rsid w:val="48F3CF6D"/>
    <w:rsid w:val="493221CB"/>
    <w:rsid w:val="4A1C11CE"/>
    <w:rsid w:val="4A6EF446"/>
    <w:rsid w:val="4AA402F8"/>
    <w:rsid w:val="4AAB640E"/>
    <w:rsid w:val="4AE460AD"/>
    <w:rsid w:val="4C5887B6"/>
    <w:rsid w:val="4DFF914F"/>
    <w:rsid w:val="4E4432A8"/>
    <w:rsid w:val="4F1F8560"/>
    <w:rsid w:val="4F64ACFF"/>
    <w:rsid w:val="4F77954B"/>
    <w:rsid w:val="4FCC02F1"/>
    <w:rsid w:val="4FF4CAB8"/>
    <w:rsid w:val="505D531D"/>
    <w:rsid w:val="50E08267"/>
    <w:rsid w:val="51118B42"/>
    <w:rsid w:val="512BF8D9"/>
    <w:rsid w:val="51316E7A"/>
    <w:rsid w:val="51537501"/>
    <w:rsid w:val="51C0538B"/>
    <w:rsid w:val="5247E8B3"/>
    <w:rsid w:val="52A87843"/>
    <w:rsid w:val="530EA56B"/>
    <w:rsid w:val="534A0284"/>
    <w:rsid w:val="53EEE05B"/>
    <w:rsid w:val="540C1EE0"/>
    <w:rsid w:val="54CD54AB"/>
    <w:rsid w:val="55568613"/>
    <w:rsid w:val="55CCEBCC"/>
    <w:rsid w:val="562F4559"/>
    <w:rsid w:val="5680E0EC"/>
    <w:rsid w:val="569BC65E"/>
    <w:rsid w:val="56ECE63E"/>
    <w:rsid w:val="572A9745"/>
    <w:rsid w:val="575A3492"/>
    <w:rsid w:val="5820E6F6"/>
    <w:rsid w:val="58B0386F"/>
    <w:rsid w:val="5909F5BF"/>
    <w:rsid w:val="590F3649"/>
    <w:rsid w:val="59409605"/>
    <w:rsid w:val="5A623807"/>
    <w:rsid w:val="5A6C42E2"/>
    <w:rsid w:val="5ADE00CC"/>
    <w:rsid w:val="5AF773A8"/>
    <w:rsid w:val="5AFC0035"/>
    <w:rsid w:val="5B098D53"/>
    <w:rsid w:val="5B4B3B58"/>
    <w:rsid w:val="5BC56BE6"/>
    <w:rsid w:val="5BF9A1BA"/>
    <w:rsid w:val="5CA927B0"/>
    <w:rsid w:val="5D547F4E"/>
    <w:rsid w:val="5E6979CA"/>
    <w:rsid w:val="5EB4DE57"/>
    <w:rsid w:val="5EB61D74"/>
    <w:rsid w:val="5FDCFE76"/>
    <w:rsid w:val="6045E510"/>
    <w:rsid w:val="60E5F0DF"/>
    <w:rsid w:val="60EAA1E8"/>
    <w:rsid w:val="60EFCCE7"/>
    <w:rsid w:val="6148D24E"/>
    <w:rsid w:val="61ECE9AC"/>
    <w:rsid w:val="6347A814"/>
    <w:rsid w:val="639C267C"/>
    <w:rsid w:val="63B8879A"/>
    <w:rsid w:val="6408622B"/>
    <w:rsid w:val="64B06F99"/>
    <w:rsid w:val="655F9133"/>
    <w:rsid w:val="65BE130B"/>
    <w:rsid w:val="66901F06"/>
    <w:rsid w:val="66F0285C"/>
    <w:rsid w:val="6759E36C"/>
    <w:rsid w:val="67AF68B2"/>
    <w:rsid w:val="67E1AB7A"/>
    <w:rsid w:val="6847A360"/>
    <w:rsid w:val="68693CCC"/>
    <w:rsid w:val="688BF8BD"/>
    <w:rsid w:val="68DC8B70"/>
    <w:rsid w:val="68E478F6"/>
    <w:rsid w:val="68F5B3CD"/>
    <w:rsid w:val="68FC68B3"/>
    <w:rsid w:val="690891B6"/>
    <w:rsid w:val="6AA8CB0F"/>
    <w:rsid w:val="6B1FB11D"/>
    <w:rsid w:val="6B2F5CA6"/>
    <w:rsid w:val="6BC3997F"/>
    <w:rsid w:val="6C31336D"/>
    <w:rsid w:val="6C3233F1"/>
    <w:rsid w:val="6CB2DAB4"/>
    <w:rsid w:val="6CC36F04"/>
    <w:rsid w:val="6D04D8BE"/>
    <w:rsid w:val="6DDF5E89"/>
    <w:rsid w:val="6DFF03E8"/>
    <w:rsid w:val="6EDC8F79"/>
    <w:rsid w:val="6F2E5362"/>
    <w:rsid w:val="6F494F56"/>
    <w:rsid w:val="6F64F551"/>
    <w:rsid w:val="708806FF"/>
    <w:rsid w:val="70AA3160"/>
    <w:rsid w:val="70B53985"/>
    <w:rsid w:val="7100C5B2"/>
    <w:rsid w:val="718E0FCE"/>
    <w:rsid w:val="71C1FB7D"/>
    <w:rsid w:val="731EB070"/>
    <w:rsid w:val="73A9AF1C"/>
    <w:rsid w:val="74505876"/>
    <w:rsid w:val="7452B8E6"/>
    <w:rsid w:val="746E5C60"/>
    <w:rsid w:val="74D9D5F2"/>
    <w:rsid w:val="7514ABFD"/>
    <w:rsid w:val="756A7BC5"/>
    <w:rsid w:val="75ABABB7"/>
    <w:rsid w:val="75D2E0DA"/>
    <w:rsid w:val="75F4AE46"/>
    <w:rsid w:val="76126453"/>
    <w:rsid w:val="76565132"/>
    <w:rsid w:val="766E4A9F"/>
    <w:rsid w:val="77F22193"/>
    <w:rsid w:val="78398610"/>
    <w:rsid w:val="784FCCCB"/>
    <w:rsid w:val="78600804"/>
    <w:rsid w:val="78644138"/>
    <w:rsid w:val="78A21C87"/>
    <w:rsid w:val="7952C2B5"/>
    <w:rsid w:val="7A177A97"/>
    <w:rsid w:val="7A643357"/>
    <w:rsid w:val="7A749F1C"/>
    <w:rsid w:val="7A8DC779"/>
    <w:rsid w:val="7A91AAF8"/>
    <w:rsid w:val="7BB6DEEB"/>
    <w:rsid w:val="7BE9E47E"/>
    <w:rsid w:val="7C0DDE9C"/>
    <w:rsid w:val="7C106F7D"/>
    <w:rsid w:val="7C72F94D"/>
    <w:rsid w:val="7CD992CE"/>
    <w:rsid w:val="7D88B468"/>
    <w:rsid w:val="7DD0BCB2"/>
    <w:rsid w:val="7E264C37"/>
    <w:rsid w:val="7E28D51E"/>
    <w:rsid w:val="7E69509D"/>
    <w:rsid w:val="7EA74A79"/>
    <w:rsid w:val="7EA8A879"/>
    <w:rsid w:val="7ECA3110"/>
    <w:rsid w:val="7F292EEA"/>
    <w:rsid w:val="7F54F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E6F6"/>
  <w15:chartTrackingRefBased/>
  <w15:docId w15:val="{FC96C3C7-4D07-4325-A084-561929706C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06dacf2637f146d2"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016a29815f1a4566" /><Relationship Type="http://schemas.openxmlformats.org/officeDocument/2006/relationships/image" Target="/media/image7.png" Id="Rbbc4134ce555446b" /><Relationship Type="http://schemas.openxmlformats.org/officeDocument/2006/relationships/image" Target="/media/image8.png" Id="R1ca4f1dda77e41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2EE2B3E89FAE4EB00C8556D6105231" ma:contentTypeVersion="6" ma:contentTypeDescription="Create a new document." ma:contentTypeScope="" ma:versionID="0bc5e5c272c33e0ce83ab166a6be39cf">
  <xsd:schema xmlns:xsd="http://www.w3.org/2001/XMLSchema" xmlns:xs="http://www.w3.org/2001/XMLSchema" xmlns:p="http://schemas.microsoft.com/office/2006/metadata/properties" xmlns:ns2="8ee9524b-ec5d-48a1-b251-b31889ffdff8" xmlns:ns3="ef1fb6ed-e0c0-464a-b36d-c2938add4e3d" targetNamespace="http://schemas.microsoft.com/office/2006/metadata/properties" ma:root="true" ma:fieldsID="31fbff47cafe347d820f7a6986f6ed1f" ns2:_="" ns3:_="">
    <xsd:import namespace="8ee9524b-ec5d-48a1-b251-b31889ffdff8"/>
    <xsd:import namespace="ef1fb6ed-e0c0-464a-b36d-c2938add4e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e9524b-ec5d-48a1-b251-b31889ffdf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1fb6ed-e0c0-464a-b36d-c2938add4e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50D1B4-E70A-4644-B646-97E5C8FC9DBB}"/>
</file>

<file path=customXml/itemProps2.xml><?xml version="1.0" encoding="utf-8"?>
<ds:datastoreItem xmlns:ds="http://schemas.openxmlformats.org/officeDocument/2006/customXml" ds:itemID="{21219DC8-1340-451A-B654-C32B5D538E8E}"/>
</file>

<file path=customXml/itemProps3.xml><?xml version="1.0" encoding="utf-8"?>
<ds:datastoreItem xmlns:ds="http://schemas.openxmlformats.org/officeDocument/2006/customXml" ds:itemID="{89F46873-192C-420A-B2FD-AFACC1ABCE2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Tanner Luce</dc:creator>
  <keywords/>
  <dc:description/>
  <lastModifiedBy>Tanner Luce</lastModifiedBy>
  <dcterms:created xsi:type="dcterms:W3CDTF">2021-10-31T22:21:21.0000000Z</dcterms:created>
  <dcterms:modified xsi:type="dcterms:W3CDTF">2021-11-27T20:53:01.3233561Z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0x010100B72EE2B3E89FAE4EB00C8556D6105231</vt:lpwstr>
  </property>
</Properties>
</file>