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Corvallis, Oregon 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Maintained and enhanced a research platform supporting thousands of daily users </w:t>
      </w:r>
      <w:r>
        <w:rPr>
          <w:rFonts w:cs="Times New Roman" w:ascii="Times New Roman" w:hAnsi="Times New Roman"/>
          <w:color w:val="auto"/>
          <w:sz w:val="24"/>
          <w:szCs w:val="24"/>
        </w:rPr>
        <w:t>in Oregon.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Improved the uploading process, reducing runtime from 2 hour to 2 minute.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9/2020 – 11/2022</w:t>
      </w:r>
      <w:bookmarkEnd w:id="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4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4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5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6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configurations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7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>Engineered a custom drone for searching, identifying, and following a designated subject while transmitting live video feeds to any RTSP-compatible device.</w:t>
      </w:r>
      <w:bookmarkStart w:id="8" w:name="__DdeLink__95_1413304929"/>
      <w:bookmarkStart w:id="9" w:name="__DdeLink__100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65_622835337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8"/>
      <w:bookmarkEnd w:id="9"/>
      <w:bookmarkEnd w:id="10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C/C++, C#, Python, Go, HTML, CSS, Javascript, Java,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Laravel, Drupal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Application>LibreOffice/24.2.7.2$Linux_X86_64 LibreOffice_project/420$Build-2</Application>
  <AppVersion>15.0000</AppVersion>
  <Pages>1</Pages>
  <Words>287</Words>
  <Characters>1788</Characters>
  <CharactersWithSpaces>2040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2025-10-24T23:16:08Z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