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C#, JavaScript, React, MySQL, Docker, with a strong background in Linux systems and Agile development. Experienced in managing deadlines, collaborating with cross-functional teams, and delivering solutions that improve functionality and user experience. Adept at documentation, content management, and supporting site updates.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a distribution management system for Business-to-business sales. Specialized in promotion/deal calculation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activity generation algorithm that sped up by 96x.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 xml:space="preserve"> (An Sinh), utilized by about 9 million citizens in HCMC.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val="en-US" w:eastAsia="en-US" w:bidi="ar-SA"/>
        </w:rPr>
        <w:t>All projects are deployed with Docker onto a Kubernetes cluster with Jenkins CI/CD.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bookmarkStart w:id="14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4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"/>
      <w:bookmarkStart w:id="16" w:name="__DdeLink__127_25557434711"/>
      <w:bookmarkEnd w:id="15"/>
      <w:bookmarkEnd w:id="16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95_1413304929"/>
      <w:bookmarkStart w:id="18" w:name="__DdeLink__100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HTML, CSS, Javascript,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PHP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/>
      </w:pPr>
      <w:bookmarkStart w:id="19" w:name="__DdeLink__150_1676319922"/>
      <w:r>
        <w:rPr>
          <w:rFonts w:eastAsia="Calibri" w:cs="Times New Roman" w:ascii="Times New Roman" w:hAnsi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Summer Veterinary Experience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Ensured safety and engagement of academically driven high school students during OSU's Summer Veterinary Experience program, resulting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Operated radio broadcasting equipment and followed station protocols for live DJ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</w:rPr>
        <w:t>Developed a deep understanding of the DJ system and studio setup.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" TargetMode="External"/><Relationship Id="rId3" Type="http://schemas.openxmlformats.org/officeDocument/2006/relationships/hyperlink" Target="https://github.com/bachsofttrick/reversi-ai531/blob/master/paper.pdf" TargetMode="External"/><Relationship Id="rId4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Application>LibreOffice/24.2.7.2$Linux_X86_64 LibreOffice_project/420$Build-2</Application>
  <AppVersion>15.0000</AppVersion>
  <Pages>2</Pages>
  <Words>512</Words>
  <Characters>3289</Characters>
  <CharactersWithSpaces>3742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2025-09-28T11:41:36Z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