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Arial" w:cs="Arial" w:eastAsia="Arial" w:hAnsi="Arial"/>
          <w:b w:val="false"/>
          <w:bCs w:val="false"/>
          <w:i w:val="false"/>
          <w:iCs w:val="false"/>
          <w:caps w:val="false"/>
          <w:color w:val="1E293B"/>
          <w:sz w:val="10"/>
          <w:szCs w:val="10"/>
        </w:rPr>
        <w:t xml:space="preserve"/>
      </w:r>
    </w:p>
    <w:p>
      <w:pPr>
        <w:spacing w:after="60" w:before="0"/>
        <w:jc w:val="center"/>
      </w:pPr>
      <w:r>
        <w:rPr>
          <w:rFonts w:ascii="Arial" w:cs="Arial" w:eastAsia="Arial" w:hAnsi="Arial"/>
          <w:b/>
          <w:bCs/>
          <w:caps/>
          <w:color w:val="00C4A0"/>
          <w:sz w:val="20"/>
          <w:szCs w:val="20"/>
        </w:rPr>
        <w:t xml:space="preserve">ANDROID AUTO COMMERCIAL ECOSYSTEM</w:t>
      </w:r>
    </w:p>
    <w:p>
      <w:pPr>
        <w:spacing w:after="40" w:before="0"/>
        <w:jc w:val="center"/>
      </w:pPr>
      <w:r>
        <w:rPr>
          <w:rFonts w:ascii="Arial" w:cs="Arial" w:eastAsia="Arial" w:hAnsi="Arial"/>
          <w:color w:val="94A3B8"/>
          <w:sz w:val="18"/>
          <w:szCs w:val="18"/>
        </w:rPr>
        <w:t xml:space="preserve">WHITEPAPER — TECHNICAL VISION DOCUMENT</w:t>
      </w:r>
    </w:p>
    <w:p>
      <w:pPr>
        <w:spacing w:after="0" w:before="160"/>
      </w:pPr>
      <w:r>
        <w:rPr>
          <w:rFonts w:ascii="Arial" w:cs="Arial" w:eastAsia="Arial" w:hAnsi="Arial"/>
          <w:b w:val="false"/>
          <w:bCs w:val="false"/>
          <w:i w:val="false"/>
          <w:iCs w:val="false"/>
          <w:caps w:val="false"/>
          <w:color w:val="1E293B"/>
          <w:sz w:val="10"/>
          <w:szCs w:val="10"/>
        </w:rPr>
        <w:t xml:space="preserve"/>
      </w:r>
    </w:p>
    <w:p>
      <w:pPr>
        <w:pBdr>
          <w:bottom w:val="single" w:color="00C4A0" w:sz="12" w:space="8"/>
        </w:pBdr>
        <w:spacing w:after="120" w:before="0"/>
        <w:jc w:val="center"/>
      </w:pPr>
      <w:r>
        <w:rPr>
          <w:rFonts w:ascii="Arial" w:cs="Arial" w:eastAsia="Arial" w:hAnsi="Arial"/>
          <w:b/>
          <w:bCs/>
          <w:color w:val="0A1628"/>
          <w:sz w:val="80"/>
          <w:szCs w:val="80"/>
        </w:rPr>
        <w:t xml:space="preserve">IA ASSISTANT</w:t>
      </w:r>
    </w:p>
    <w:p>
      <w:pPr>
        <w:spacing w:after="60" w:before="120"/>
        <w:jc w:val="center"/>
      </w:pPr>
      <w:r>
        <w:rPr>
          <w:rFonts w:ascii="Arial" w:cs="Arial" w:eastAsia="Arial" w:hAnsi="Arial"/>
          <w:color w:val="334155"/>
          <w:sz w:val="30"/>
          <w:szCs w:val="30"/>
        </w:rPr>
        <w:t xml:space="preserve">The Meta-AI Middleware Layer for Commercial Android</w:t>
      </w:r>
    </w:p>
    <w:p>
      <w:pPr>
        <w:spacing w:after="0" w:before="240"/>
      </w:pPr>
      <w:r>
        <w:rPr>
          <w:rFonts w:ascii="Arial" w:cs="Arial" w:eastAsia="Arial" w:hAnsi="Arial"/>
          <w:b w:val="false"/>
          <w:bCs w:val="false"/>
          <w:i w:val="false"/>
          <w:iCs w:val="false"/>
          <w:caps w:val="false"/>
          <w:color w:val="1E293B"/>
          <w:sz w:val="10"/>
          <w:szCs w:val="10"/>
        </w:rPr>
        <w:t xml:space="preserve"/>
      </w:r>
    </w:p>
    <w:p>
      <w:pPr>
        <w:spacing w:after="60" w:before="0"/>
        <w:jc w:val="center"/>
      </w:pPr>
      <w:r>
        <w:rPr>
          <w:rFonts w:ascii="Arial" w:cs="Arial" w:eastAsia="Arial" w:hAnsi="Arial"/>
          <w:color w:val="94A3B8"/>
          <w:sz w:val="20"/>
          <w:szCs w:val="20"/>
        </w:rPr>
        <w:t xml:space="preserve">Version 0.1  |  April 2026  |  Pre-Release Draft</w:t>
      </w:r>
    </w:p>
    <w:p>
      <w:pPr>
        <w:spacing w:after="0" w:before="0"/>
        <w:jc w:val="center"/>
      </w:pPr>
      <w:r>
        <w:rPr>
          <w:rFonts w:ascii="Arial" w:cs="Arial" w:eastAsia="Arial" w:hAnsi="Arial"/>
          <w:color w:val="94A3B8"/>
          <w:sz w:val="20"/>
          <w:szCs w:val="20"/>
        </w:rPr>
        <w:t xml:space="preserve">Confidential — AAC Ecosystem Internal</w:t>
      </w:r>
    </w:p>
    <w:p>
      <w:pPr>
        <w:spacing w:after="0" w:before="0"/>
      </w:pPr>
      <w:r>
        <w:br w:type="page"/>
      </w:r>
    </w:p>
    <w:p>
      <w:pPr>
        <w:pStyle w:val="Heading1"/>
        <w:pBdr>
          <w:bottom w:val="single" w:color="00C4A0" w:sz="8" w:space="4"/>
        </w:pBdr>
        <w:spacing w:after="180" w:before="360"/>
      </w:pPr>
      <w:r>
        <w:rPr>
          <w:rFonts w:ascii="Arial" w:cs="Arial" w:eastAsia="Arial" w:hAnsi="Arial"/>
          <w:b/>
          <w:bCs/>
          <w:sz w:val="32"/>
          <w:szCs w:val="32"/>
        </w:rPr>
        <w:t xml:space="preserve">Executive Summary</w:t>
      </w:r>
    </w:p>
    <w:p>
      <w:pPr>
        <w:spacing w:after="80" w:before="80" w:line="300"/>
        <w:jc w:val="left"/>
      </w:pPr>
      <w:r>
        <w:rPr>
          <w:rFonts w:ascii="Arial" w:cs="Arial" w:eastAsia="Arial" w:hAnsi="Arial"/>
          <w:b w:val="false"/>
          <w:bCs w:val="false"/>
          <w:i w:val="false"/>
          <w:iCs w:val="false"/>
          <w:caps w:val="false"/>
          <w:color w:val="1E293B"/>
          <w:sz w:val="22"/>
          <w:szCs w:val="22"/>
        </w:rPr>
        <w:t xml:space="preserve">The IA Assistant is a meta-AI middleware layer designed to sit between the human operator and all AI model systems within the Android Auto Commercial (AAC) Ecosystem. It does not replace AI — it governs it. By operating before, inside, and after every AI inference, the IA establishes a unified intelligence plane that routes, evaluates, and integrates AI outputs into coherent, safety-validated operator responses.</w:t>
      </w:r>
    </w:p>
    <w:p>
      <w:pPr>
        <w:spacing w:after="0" w:before="80"/>
      </w:pPr>
      <w:r>
        <w:rPr>
          <w:rFonts w:ascii="Arial" w:cs="Arial" w:eastAsia="Arial" w:hAnsi="Arial"/>
          <w:b w:val="false"/>
          <w:bCs w:val="false"/>
          <w:i w:val="false"/>
          <w:iCs w:val="false"/>
          <w:caps w:val="false"/>
          <w:color w:val="1E293B"/>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0C4A0" w:val="clear"/>
            <w:tcMar>
              <w:top w:type="dxa" w:w="120"/>
              <w:left w:type="dxa" w:w="80"/>
              <w:bottom w:type="dxa" w:w="120"/>
              <w:right w:type="dxa" w:w="80"/>
            </w:tcMar>
          </w:tcPr>
          <w:p>
            <w:pPr>
              <w:jc w:val="center"/>
            </w:pPr>
            <w:r>
              <w:rPr>
                <w:rFonts w:ascii="Arial" w:cs="Arial" w:eastAsia="Arial" w:hAnsi="Arial"/>
                <w:b/>
                <w:bCs/>
                <w:i w:val="false"/>
                <w:iCs w:val="false"/>
                <w:caps w:val="false"/>
                <w:color w:val="FFFFFF"/>
                <w:sz w:val="18"/>
                <w:szCs w:val="18"/>
              </w:rPr>
              <w:t xml:space="preserve">!</w:t>
            </w:r>
          </w:p>
        </w:tc>
        <w:tc>
          <w:tcPr>
            <w:tcW w:type="dxa" w:w="9120"/>
            <w:tcBorders>
              <w:top w:val="none" w:color="FFFFFF" w:sz="0"/>
              <w:left w:val="none" w:color="FFFFFF" w:sz="0"/>
              <w:bottom w:val="none" w:color="FFFFFF" w:sz="0"/>
              <w:right w:val="none" w:color="FFFFFF" w:sz="0"/>
            </w:tcBorders>
            <w:shd w:fill="E6FAF7" w:val="clear"/>
            <w:tcMar>
              <w:top w:type="dxa" w:w="100"/>
              <w:left w:type="dxa" w:w="160"/>
              <w:bottom w:type="dxa" w:w="100"/>
              <w:right w:type="dxa" w:w="120"/>
            </w:tcMar>
          </w:tcPr>
          <w:p>
            <w:r>
              <w:rPr>
                <w:rFonts w:ascii="Arial" w:cs="Arial" w:eastAsia="Arial" w:hAnsi="Arial"/>
                <w:b w:val="false"/>
                <w:bCs w:val="false"/>
                <w:i w:val="false"/>
                <w:iCs w:val="false"/>
                <w:caps w:val="false"/>
                <w:color w:val="1E293B"/>
                <w:sz w:val="20"/>
                <w:szCs w:val="20"/>
              </w:rPr>
              <w:t xml:space="preserve">The IA is the only component in the AAC stack that touches every AI call. It is the trust boundary between the vehicle system and the intelligence layer.</w:t>
            </w:r>
          </w:p>
        </w:tc>
      </w:tr>
    </w:tbl>
    <w:p>
      <w:pPr>
        <w:spacing w:after="0" w:before="80"/>
      </w:pPr>
      <w:r>
        <w:rPr>
          <w:rFonts w:ascii="Arial" w:cs="Arial" w:eastAsia="Arial" w:hAnsi="Arial"/>
          <w:b w:val="false"/>
          <w:bCs w:val="false"/>
          <w:i w:val="false"/>
          <w:iCs w:val="false"/>
          <w:caps w:val="false"/>
          <w:color w:val="1E293B"/>
          <w:sz w:val="10"/>
          <w:szCs w:val="10"/>
        </w:rPr>
        <w:t xml:space="preserve"/>
      </w:r>
    </w:p>
    <w:p>
      <w:pPr>
        <w:spacing w:after="80" w:before="80" w:line="300"/>
        <w:jc w:val="left"/>
      </w:pPr>
      <w:r>
        <w:rPr>
          <w:rFonts w:ascii="Arial" w:cs="Arial" w:eastAsia="Arial" w:hAnsi="Arial"/>
          <w:b w:val="false"/>
          <w:bCs w:val="false"/>
          <w:i w:val="false"/>
          <w:iCs w:val="false"/>
          <w:caps w:val="false"/>
          <w:color w:val="1E293B"/>
          <w:sz w:val="22"/>
          <w:szCs w:val="22"/>
        </w:rPr>
        <w:t xml:space="preserve">This whitepaper documents the full six-layer IA architecture, its integration into the AAC tier system (Bronze through Pure Gold), its security model (CAC/PIV authentication, RT-PREEMPT scheduling), and its four orchestration strategies for handling single-model, parallel, and emergency inference scenarios.</w:t>
      </w:r>
    </w:p>
    <w:p>
      <w:pPr>
        <w:spacing w:after="80" w:before="80" w:line="300"/>
        <w:jc w:val="left"/>
      </w:pPr>
      <w:r>
        <w:rPr>
          <w:rFonts w:ascii="Arial" w:cs="Arial" w:eastAsia="Arial" w:hAnsi="Arial"/>
          <w:b w:val="false"/>
          <w:bCs w:val="false"/>
          <w:i w:val="false"/>
          <w:iCs w:val="false"/>
          <w:caps w:val="false"/>
          <w:color w:val="1E293B"/>
          <w:sz w:val="22"/>
          <w:szCs w:val="22"/>
        </w:rPr>
        <w:t xml:space="preserve">The IA is designed with a 12-year implementation horizon, beginning with a text-input Bronze tier implementation and culminating in a Pure Gold autonomous agent capable of self-correction, federated on-device learning, and full multimodal integration across industrial, rail, and defense verticals.</w:t>
      </w:r>
    </w:p>
    <w:p>
      <w:pPr>
        <w:spacing w:after="0" w:before="0"/>
      </w:pPr>
      <w:r>
        <w:br w:type="page"/>
      </w:r>
    </w:p>
    <w:p>
      <w:pPr>
        <w:pStyle w:val="Heading1"/>
        <w:pBdr>
          <w:bottom w:val="single" w:color="00C4A0" w:sz="8" w:space="4"/>
        </w:pBdr>
        <w:spacing w:after="180" w:before="360"/>
      </w:pPr>
      <w:r>
        <w:rPr>
          <w:rFonts w:ascii="Arial" w:cs="Arial" w:eastAsia="Arial" w:hAnsi="Arial"/>
          <w:b/>
          <w:bCs/>
          <w:sz w:val="32"/>
          <w:szCs w:val="32"/>
        </w:rPr>
        <w:t xml:space="preserve">Table of Contents</w:t>
      </w:r>
    </w:p>
    <w:p>
      <w:pPr>
        <w:spacing w:after="60" w:before="60"/>
      </w:pPr>
      <w:r>
        <w:rPr>
          <w:rFonts w:ascii="Arial" w:cs="Arial" w:eastAsia="Arial" w:hAnsi="Arial"/>
          <w:color w:val="00C4A0"/>
          <w:sz w:val="22"/>
          <w:szCs w:val="22"/>
        </w:rPr>
        <w:t xml:space="preserve">1. Introduction — The Meta-AI Paradigm</w:t>
      </w:r>
    </w:p>
    <w:p>
      <w:pPr>
        <w:spacing w:after="60" w:before="60"/>
      </w:pPr>
      <w:r>
        <w:rPr>
          <w:rFonts w:ascii="Arial" w:cs="Arial" w:eastAsia="Arial" w:hAnsi="Arial"/>
          <w:color w:val="00C4A0"/>
          <w:sz w:val="22"/>
          <w:szCs w:val="22"/>
        </w:rPr>
        <w:t xml:space="preserve">2. Problem Statement</w:t>
      </w:r>
    </w:p>
    <w:p>
      <w:pPr>
        <w:spacing w:after="60" w:before="60"/>
      </w:pPr>
      <w:r>
        <w:rPr>
          <w:rFonts w:ascii="Arial" w:cs="Arial" w:eastAsia="Arial" w:hAnsi="Arial"/>
          <w:color w:val="00C4A0"/>
          <w:sz w:val="22"/>
          <w:szCs w:val="22"/>
        </w:rPr>
        <w:t xml:space="preserve">3. Architecture Overview</w:t>
      </w:r>
    </w:p>
    <w:p>
      <w:pPr>
        <w:spacing w:after="60" w:before="60"/>
      </w:pPr>
      <w:r>
        <w:rPr>
          <w:rFonts w:ascii="Arial" w:cs="Arial" w:eastAsia="Arial" w:hAnsi="Arial"/>
          <w:color w:val="00C4A0"/>
          <w:sz w:val="22"/>
          <w:szCs w:val="22"/>
        </w:rPr>
        <w:t xml:space="preserve">4. Layer-by-Layer Specification</w:t>
      </w:r>
    </w:p>
    <w:p>
      <w:pPr>
        <w:spacing w:after="60" w:before="60"/>
      </w:pPr>
      <w:r>
        <w:rPr>
          <w:rFonts w:ascii="Arial" w:cs="Arial" w:eastAsia="Arial" w:hAnsi="Arial"/>
          <w:color w:val="00C4A0"/>
          <w:sz w:val="22"/>
          <w:szCs w:val="22"/>
        </w:rPr>
        <w:t xml:space="preserve">5. Orchestration Strategies</w:t>
      </w:r>
    </w:p>
    <w:p>
      <w:pPr>
        <w:spacing w:after="60" w:before="60"/>
      </w:pPr>
      <w:r>
        <w:rPr>
          <w:rFonts w:ascii="Arial" w:cs="Arial" w:eastAsia="Arial" w:hAnsi="Arial"/>
          <w:color w:val="00C4A0"/>
          <w:sz w:val="22"/>
          <w:szCs w:val="22"/>
        </w:rPr>
        <w:t xml:space="preserve">6. Security Architecture</w:t>
      </w:r>
    </w:p>
    <w:p>
      <w:pPr>
        <w:spacing w:after="60" w:before="60"/>
      </w:pPr>
      <w:r>
        <w:rPr>
          <w:rFonts w:ascii="Arial" w:cs="Arial" w:eastAsia="Arial" w:hAnsi="Arial"/>
          <w:color w:val="00C4A0"/>
          <w:sz w:val="22"/>
          <w:szCs w:val="22"/>
        </w:rPr>
        <w:t xml:space="preserve">7. AAC Tier Capability Matrix</w:t>
      </w:r>
    </w:p>
    <w:p>
      <w:pPr>
        <w:spacing w:after="60" w:before="60"/>
      </w:pPr>
      <w:r>
        <w:rPr>
          <w:rFonts w:ascii="Arial" w:cs="Arial" w:eastAsia="Arial" w:hAnsi="Arial"/>
          <w:color w:val="00C4A0"/>
          <w:sz w:val="22"/>
          <w:szCs w:val="22"/>
        </w:rPr>
        <w:t xml:space="preserve">8. RT-PREEMPT Integration</w:t>
      </w:r>
    </w:p>
    <w:p>
      <w:pPr>
        <w:spacing w:after="60" w:before="60"/>
      </w:pPr>
      <w:r>
        <w:rPr>
          <w:rFonts w:ascii="Arial" w:cs="Arial" w:eastAsia="Arial" w:hAnsi="Arial"/>
          <w:color w:val="00C4A0"/>
          <w:sz w:val="22"/>
          <w:szCs w:val="22"/>
        </w:rPr>
        <w:t xml:space="preserve">9. Implementation Roadmap</w:t>
      </w:r>
    </w:p>
    <w:p>
      <w:pPr>
        <w:spacing w:after="60" w:before="60"/>
      </w:pPr>
      <w:r>
        <w:rPr>
          <w:rFonts w:ascii="Arial" w:cs="Arial" w:eastAsia="Arial" w:hAnsi="Arial"/>
          <w:color w:val="00C4A0"/>
          <w:sz w:val="22"/>
          <w:szCs w:val="22"/>
        </w:rPr>
        <w:t xml:space="preserve">10. Conclusion</w:t>
      </w:r>
    </w:p>
    <w:p>
      <w:pPr>
        <w:spacing w:after="0" w:before="0"/>
      </w:pPr>
      <w:r>
        <w:br w:type="page"/>
      </w:r>
    </w:p>
    <w:p>
      <w:pPr>
        <w:pStyle w:val="Heading1"/>
        <w:pBdr>
          <w:bottom w:val="single" w:color="00C4A0" w:sz="8" w:space="4"/>
        </w:pBdr>
        <w:spacing w:after="180" w:before="360"/>
      </w:pPr>
      <w:r>
        <w:rPr>
          <w:rFonts w:ascii="Arial" w:cs="Arial" w:eastAsia="Arial" w:hAnsi="Arial"/>
          <w:b/>
          <w:bCs/>
          <w:sz w:val="32"/>
          <w:szCs w:val="32"/>
        </w:rPr>
        <w:t xml:space="preserve">1. Introduction — The Meta-AI Paradigm</w:t>
      </w:r>
    </w:p>
    <w:p>
      <w:pPr>
        <w:pStyle w:val="Heading2"/>
        <w:spacing w:after="120" w:before="280"/>
      </w:pPr>
      <w:r>
        <w:rPr>
          <w:rFonts w:ascii="Arial" w:cs="Arial" w:eastAsia="Arial" w:hAnsi="Arial"/>
          <w:b/>
          <w:bCs/>
          <w:color w:val="1E293B"/>
          <w:sz w:val="26"/>
          <w:szCs w:val="26"/>
        </w:rPr>
        <w:t xml:space="preserve">1.1 What Is a Meta-AI Layer?</w:t>
      </w:r>
    </w:p>
    <w:p>
      <w:pPr>
        <w:spacing w:after="80" w:before="80" w:line="300"/>
        <w:jc w:val="left"/>
      </w:pPr>
      <w:r>
        <w:rPr>
          <w:rFonts w:ascii="Arial" w:cs="Arial" w:eastAsia="Arial" w:hAnsi="Arial"/>
          <w:b w:val="false"/>
          <w:bCs w:val="false"/>
          <w:i w:val="false"/>
          <w:iCs w:val="false"/>
          <w:caps w:val="false"/>
          <w:color w:val="1E293B"/>
          <w:sz w:val="22"/>
          <w:szCs w:val="22"/>
        </w:rPr>
        <w:t xml:space="preserve">Modern AI deployments in commercial and industrial Android systems face a structural problem: individual AI models — even excellent ones — lack the contextual awareness, safety validation, and cross-domain routing intelligence required for real-world deployment at the edge. A navigation model does not know the vehicle's current gear. A voice transcription model cannot assess whether the operator is in a safety-critical scenario. A cloud language model may hallucinate sensor readings it has never seen.</w:t>
      </w:r>
    </w:p>
    <w:p>
      <w:pPr>
        <w:spacing w:after="80" w:before="80" w:line="300"/>
        <w:jc w:val="left"/>
      </w:pPr>
      <w:r>
        <w:rPr>
          <w:rFonts w:ascii="Arial" w:cs="Arial" w:eastAsia="Arial" w:hAnsi="Arial"/>
          <w:b w:val="false"/>
          <w:bCs w:val="false"/>
          <w:i w:val="false"/>
          <w:iCs w:val="false"/>
          <w:caps w:val="false"/>
          <w:color w:val="1E293B"/>
          <w:sz w:val="22"/>
          <w:szCs w:val="22"/>
        </w:rPr>
        <w:t xml:space="preserve">The IA Assistant solves this by acting as a meta-AI layer — a governing intelligence that sits above individual models and below the human operator. It does not generate intelligence itself; it coordinates, validates, and synthesizes it.</w:t>
      </w:r>
    </w:p>
    <w:p>
      <w:pPr>
        <w:spacing w:after="0" w:before="80"/>
      </w:pPr>
      <w:r>
        <w:rPr>
          <w:rFonts w:ascii="Arial" w:cs="Arial" w:eastAsia="Arial" w:hAnsi="Arial"/>
          <w:b w:val="false"/>
          <w:bCs w:val="false"/>
          <w:i w:val="false"/>
          <w:iCs w:val="false"/>
          <w:caps w:val="false"/>
          <w:color w:val="1E293B"/>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0C4A0" w:val="clear"/>
            <w:tcMar>
              <w:top w:type="dxa" w:w="120"/>
              <w:left w:type="dxa" w:w="80"/>
              <w:bottom w:type="dxa" w:w="120"/>
              <w:right w:type="dxa" w:w="80"/>
            </w:tcMar>
          </w:tcPr>
          <w:p>
            <w:pPr>
              <w:jc w:val="center"/>
            </w:pPr>
            <w:r>
              <w:rPr>
                <w:rFonts w:ascii="Arial" w:cs="Arial" w:eastAsia="Arial" w:hAnsi="Arial"/>
                <w:b/>
                <w:bCs/>
                <w:i w:val="false"/>
                <w:iCs w:val="false"/>
                <w:caps w:val="false"/>
                <w:color w:val="FFFFFF"/>
                <w:sz w:val="18"/>
                <w:szCs w:val="18"/>
              </w:rPr>
              <w:t xml:space="preserve">DEF</w:t>
            </w:r>
          </w:p>
        </w:tc>
        <w:tc>
          <w:tcPr>
            <w:tcW w:type="dxa" w:w="9120"/>
            <w:tcBorders>
              <w:top w:val="none" w:color="FFFFFF" w:sz="0"/>
              <w:left w:val="none" w:color="FFFFFF" w:sz="0"/>
              <w:bottom w:val="none" w:color="FFFFFF" w:sz="0"/>
              <w:right w:val="none" w:color="FFFFFF" w:sz="0"/>
            </w:tcBorders>
            <w:shd w:fill="E6FAF7" w:val="clear"/>
            <w:tcMar>
              <w:top w:type="dxa" w:w="100"/>
              <w:left w:type="dxa" w:w="160"/>
              <w:bottom w:type="dxa" w:w="100"/>
              <w:right w:type="dxa" w:w="120"/>
            </w:tcMar>
          </w:tcPr>
          <w:p>
            <w:r>
              <w:rPr>
                <w:rFonts w:ascii="Arial" w:cs="Arial" w:eastAsia="Arial" w:hAnsi="Arial"/>
                <w:b w:val="false"/>
                <w:bCs w:val="false"/>
                <w:i w:val="false"/>
                <w:iCs w:val="false"/>
                <w:caps w:val="false"/>
                <w:color w:val="1E293B"/>
                <w:sz w:val="20"/>
                <w:szCs w:val="20"/>
              </w:rPr>
              <w:t xml:space="preserve">Meta-AI: An AI governance layer that operates before, inside, and after AI model inference to produce unified, validated, safety-aware outputs from heterogeneous model sources.</w:t>
            </w:r>
          </w:p>
        </w:tc>
      </w:tr>
    </w:tbl>
    <w:p>
      <w:pPr>
        <w:spacing w:after="0" w:before="80"/>
      </w:pPr>
      <w:r>
        <w:rPr>
          <w:rFonts w:ascii="Arial" w:cs="Arial" w:eastAsia="Arial" w:hAnsi="Arial"/>
          <w:b w:val="false"/>
          <w:bCs w:val="false"/>
          <w:i w:val="false"/>
          <w:iCs w:val="false"/>
          <w:caps w:val="false"/>
          <w:color w:val="1E293B"/>
          <w:sz w:val="10"/>
          <w:szCs w:val="10"/>
        </w:rPr>
        <w:t xml:space="preserve"/>
      </w:r>
    </w:p>
    <w:p>
      <w:pPr>
        <w:pStyle w:val="Heading2"/>
        <w:spacing w:after="120" w:before="280"/>
      </w:pPr>
      <w:r>
        <w:rPr>
          <w:rFonts w:ascii="Arial" w:cs="Arial" w:eastAsia="Arial" w:hAnsi="Arial"/>
          <w:b/>
          <w:bCs/>
          <w:color w:val="1E293B"/>
          <w:sz w:val="26"/>
          <w:szCs w:val="26"/>
        </w:rPr>
        <w:t xml:space="preserve">1.2 The Three Zones of IA Operation</w:t>
      </w:r>
    </w:p>
    <w:p>
      <w:pPr>
        <w:spacing w:after="80" w:before="80" w:line="300"/>
        <w:jc w:val="left"/>
      </w:pPr>
      <w:r>
        <w:rPr>
          <w:rFonts w:ascii="Arial" w:cs="Arial" w:eastAsia="Arial" w:hAnsi="Arial"/>
          <w:b w:val="false"/>
          <w:bCs w:val="false"/>
          <w:i w:val="false"/>
          <w:iCs w:val="false"/>
          <w:caps w:val="false"/>
          <w:color w:val="1E293B"/>
          <w:sz w:val="22"/>
          <w:szCs w:val="22"/>
        </w:rPr>
        <w:t xml:space="preserve">The IA operates across three zones that correspond to the lifecycle of every AI call made within the AAC system:</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Before AI — Intent parsing, context assembly, and prompt engineering. The IA ensures no model sees a raw, ambiguous, or context-free request.</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Inside AI — Model routing, parallel orchestration, and fallback chain management. The IA decides which model or combination of models handles each request.</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After AI — Output scoring, hallucination detection, contradiction flagging, and synthesis. The IA ensures no response reaches the operator without a confidence grade.</w:t>
      </w:r>
    </w:p>
    <w:p>
      <w:pPr>
        <w:spacing w:after="0" w:before="80"/>
      </w:pPr>
      <w:r>
        <w:rPr>
          <w:rFonts w:ascii="Arial" w:cs="Arial" w:eastAsia="Arial" w:hAnsi="Arial"/>
          <w:b w:val="false"/>
          <w:bCs w:val="false"/>
          <w:i w:val="false"/>
          <w:iCs w:val="false"/>
          <w:caps w:val="false"/>
          <w:color w:val="1E293B"/>
          <w:sz w:val="10"/>
          <w:szCs w:val="10"/>
        </w:rPr>
        <w:t xml:space="preserve"/>
      </w:r>
    </w:p>
    <w:p>
      <w:pPr>
        <w:pStyle w:val="Heading2"/>
        <w:spacing w:after="120" w:before="280"/>
      </w:pPr>
      <w:r>
        <w:rPr>
          <w:rFonts w:ascii="Arial" w:cs="Arial" w:eastAsia="Arial" w:hAnsi="Arial"/>
          <w:b/>
          <w:bCs/>
          <w:color w:val="1E293B"/>
          <w:sz w:val="26"/>
          <w:szCs w:val="26"/>
        </w:rPr>
        <w:t xml:space="preserve">1.3 Design Philosophy</w:t>
      </w:r>
    </w:p>
    <w:p>
      <w:pPr>
        <w:spacing w:after="80" w:before="80" w:line="300"/>
        <w:jc w:val="left"/>
      </w:pPr>
      <w:r>
        <w:rPr>
          <w:rFonts w:ascii="Arial" w:cs="Arial" w:eastAsia="Arial" w:hAnsi="Arial"/>
          <w:b w:val="false"/>
          <w:bCs w:val="false"/>
          <w:i w:val="false"/>
          <w:iCs w:val="false"/>
          <w:caps w:val="false"/>
          <w:color w:val="1E293B"/>
          <w:sz w:val="22"/>
          <w:szCs w:val="22"/>
        </w:rPr>
        <w:t xml:space="preserve">The IA is designed around four principles that distinguish it from conventional AI assistants:</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Never filter at intake. Every signal type is accepted and processed. Filtering happens at the evaluation layer, not the input layer.</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Trust is earned per-response. Every model response is scored before being forwarded. The IA maintains no persistent trust relationship with any model.</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Safety through redundancy, not restriction. The IA does not prevent models from generating outputs — it evaluates them. Restrictions are applied after evaluation, not before generation.</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The operator is always the authority. The IA recommends; it never commands. Final authority rests with the human operator in all non-emergency scenarios.</w:t>
      </w:r>
    </w:p>
    <w:p>
      <w:pPr>
        <w:spacing w:after="0" w:before="0"/>
      </w:pPr>
      <w:r>
        <w:br w:type="page"/>
      </w:r>
    </w:p>
    <w:p>
      <w:pPr>
        <w:pStyle w:val="Heading1"/>
        <w:pBdr>
          <w:bottom w:val="single" w:color="00C4A0" w:sz="8" w:space="4"/>
        </w:pBdr>
        <w:spacing w:after="180" w:before="360"/>
      </w:pPr>
      <w:r>
        <w:rPr>
          <w:rFonts w:ascii="Arial" w:cs="Arial" w:eastAsia="Arial" w:hAnsi="Arial"/>
          <w:b/>
          <w:bCs/>
          <w:sz w:val="32"/>
          <w:szCs w:val="32"/>
        </w:rPr>
        <w:t xml:space="preserve">2. Problem Statement</w:t>
      </w:r>
    </w:p>
    <w:p>
      <w:pPr>
        <w:pStyle w:val="Heading2"/>
        <w:spacing w:after="120" w:before="280"/>
      </w:pPr>
      <w:r>
        <w:rPr>
          <w:rFonts w:ascii="Arial" w:cs="Arial" w:eastAsia="Arial" w:hAnsi="Arial"/>
          <w:b/>
          <w:bCs/>
          <w:color w:val="1E293B"/>
          <w:sz w:val="26"/>
          <w:szCs w:val="26"/>
        </w:rPr>
        <w:t xml:space="preserve">2.1 The Intelligence Gap in Commercial Android</w:t>
      </w:r>
    </w:p>
    <w:p>
      <w:pPr>
        <w:spacing w:after="80" w:before="80" w:line="300"/>
        <w:jc w:val="left"/>
      </w:pPr>
      <w:r>
        <w:rPr>
          <w:rFonts w:ascii="Arial" w:cs="Arial" w:eastAsia="Arial" w:hAnsi="Arial"/>
          <w:b w:val="false"/>
          <w:bCs w:val="false"/>
          <w:i w:val="false"/>
          <w:iCs w:val="false"/>
          <w:caps w:val="false"/>
          <w:color w:val="1E293B"/>
          <w:sz w:val="22"/>
          <w:szCs w:val="22"/>
        </w:rPr>
        <w:t xml:space="preserve">Android Auto (consumer) and its commercial derivatives have made significant progress in bringing AI-assisted interactions to vehicle environments. However, these implementations share a common structural limitation: they expose individual AI models directly to the operator interface, with no intermediary validation, no confidence grading, and no multi-model orchestration.</w:t>
      </w:r>
    </w:p>
    <w:p>
      <w:pPr>
        <w:spacing w:after="80" w:before="80" w:line="300"/>
        <w:jc w:val="left"/>
      </w:pPr>
      <w:r>
        <w:rPr>
          <w:rFonts w:ascii="Arial" w:cs="Arial" w:eastAsia="Arial" w:hAnsi="Arial"/>
          <w:b w:val="false"/>
          <w:bCs w:val="false"/>
          <w:i w:val="false"/>
          <w:iCs w:val="false"/>
          <w:caps w:val="false"/>
          <w:color w:val="1E293B"/>
          <w:sz w:val="22"/>
          <w:szCs w:val="22"/>
        </w:rPr>
        <w:t xml:space="preserve">The consequences of this design in commercial, industrial, and defense contexts are significant. A model that confidently provides incorrect navigation instructions in a consumer vehicle is an inconvenience. In a rail or logistics vehicle, it is a safety event.</w:t>
      </w:r>
    </w:p>
    <w:p>
      <w:pPr>
        <w:spacing w:after="0" w:before="80"/>
      </w:pPr>
      <w:r>
        <w:rPr>
          <w:rFonts w:ascii="Arial" w:cs="Arial" w:eastAsia="Arial" w:hAnsi="Arial"/>
          <w:b w:val="false"/>
          <w:bCs w:val="false"/>
          <w:i w:val="false"/>
          <w:iCs w:val="false"/>
          <w:caps w:val="false"/>
          <w:color w:val="1E293B"/>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B91C1C" w:val="clear"/>
            <w:tcMar>
              <w:top w:type="dxa" w:w="120"/>
              <w:left w:type="dxa" w:w="80"/>
              <w:bottom w:type="dxa" w:w="120"/>
              <w:right w:type="dxa" w:w="80"/>
            </w:tcMar>
          </w:tcPr>
          <w:p>
            <w:pPr>
              <w:jc w:val="center"/>
            </w:pPr>
            <w:r>
              <w:rPr>
                <w:rFonts w:ascii="Arial" w:cs="Arial" w:eastAsia="Arial" w:hAnsi="Arial"/>
                <w:b/>
                <w:bCs/>
                <w:i w:val="false"/>
                <w:iCs w:val="false"/>
                <w:caps w:val="false"/>
                <w:color w:val="FFFFFF"/>
                <w:sz w:val="18"/>
                <w:szCs w:val="18"/>
              </w:rPr>
              <w:t xml:space="preserve">RISK</w:t>
            </w:r>
          </w:p>
        </w:tc>
        <w:tc>
          <w:tcPr>
            <w:tcW w:type="dxa" w:w="9120"/>
            <w:tcBorders>
              <w:top w:val="none" w:color="FFFFFF" w:sz="0"/>
              <w:left w:val="none" w:color="FFFFFF" w:sz="0"/>
              <w:bottom w:val="none" w:color="FFFFFF" w:sz="0"/>
              <w:right w:val="none" w:color="FFFFFF" w:sz="0"/>
            </w:tcBorders>
            <w:shd w:fill="FEE2E2" w:val="clear"/>
            <w:tcMar>
              <w:top w:type="dxa" w:w="100"/>
              <w:left w:type="dxa" w:w="160"/>
              <w:bottom w:type="dxa" w:w="100"/>
              <w:right w:type="dxa" w:w="120"/>
            </w:tcMar>
          </w:tcPr>
          <w:p>
            <w:r>
              <w:rPr>
                <w:rFonts w:ascii="Arial" w:cs="Arial" w:eastAsia="Arial" w:hAnsi="Arial"/>
                <w:b w:val="false"/>
                <w:bCs w:val="false"/>
                <w:i w:val="false"/>
                <w:iCs w:val="false"/>
                <w:caps w:val="false"/>
                <w:color w:val="1E293B"/>
                <w:sz w:val="20"/>
                <w:szCs w:val="20"/>
              </w:rPr>
              <w:t xml:space="preserve">In commercial vehicle contexts, unvalidated AI outputs — including hallucinated route data, fabricated sensor readings, or misclassified emergency intent — can create direct safety risks. The IA eliminates this exposure through mandatory evaluation gating.</w:t>
            </w:r>
          </w:p>
        </w:tc>
      </w:tr>
    </w:tbl>
    <w:p>
      <w:pPr>
        <w:spacing w:after="0" w:before="80"/>
      </w:pPr>
      <w:r>
        <w:rPr>
          <w:rFonts w:ascii="Arial" w:cs="Arial" w:eastAsia="Arial" w:hAnsi="Arial"/>
          <w:b w:val="false"/>
          <w:bCs w:val="false"/>
          <w:i w:val="false"/>
          <w:iCs w:val="false"/>
          <w:caps w:val="false"/>
          <w:color w:val="1E293B"/>
          <w:sz w:val="10"/>
          <w:szCs w:val="10"/>
        </w:rPr>
        <w:t xml:space="preserve"/>
      </w:r>
    </w:p>
    <w:p>
      <w:pPr>
        <w:pStyle w:val="Heading2"/>
        <w:spacing w:after="120" w:before="280"/>
      </w:pPr>
      <w:r>
        <w:rPr>
          <w:rFonts w:ascii="Arial" w:cs="Arial" w:eastAsia="Arial" w:hAnsi="Arial"/>
          <w:b/>
          <w:bCs/>
          <w:color w:val="1E293B"/>
          <w:sz w:val="26"/>
          <w:szCs w:val="26"/>
        </w:rPr>
        <w:t xml:space="preserve">2.2 Specific Failure Modes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tcPr>
          <w:p>
            <w:pPr>
              <w:jc w:val="left"/>
            </w:pPr>
            <w:r>
              <w:rPr>
                <w:rFonts w:ascii="Arial" w:cs="Arial" w:eastAsia="Arial" w:hAnsi="Arial"/>
                <w:b/>
                <w:bCs/>
                <w:i w:val="false"/>
                <w:iCs w:val="false"/>
                <w:caps/>
                <w:color w:val="FFFFFF"/>
                <w:sz w:val="19"/>
                <w:szCs w:val="19"/>
              </w:rPr>
              <w:t xml:space="preserve">Failure Mode</w:t>
            </w:r>
          </w:p>
        </w:tc>
        <w:tc>
          <w:tcPr>
            <w:tcW w:type="dxa" w:w="318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tcPr>
          <w:p>
            <w:pPr>
              <w:jc w:val="left"/>
            </w:pPr>
            <w:r>
              <w:rPr>
                <w:rFonts w:ascii="Arial" w:cs="Arial" w:eastAsia="Arial" w:hAnsi="Arial"/>
                <w:b/>
                <w:bCs/>
                <w:i w:val="false"/>
                <w:iCs w:val="false"/>
                <w:caps/>
                <w:color w:val="FFFFFF"/>
                <w:sz w:val="19"/>
                <w:szCs w:val="19"/>
              </w:rPr>
              <w:t xml:space="preserve">Cause</w:t>
            </w:r>
          </w:p>
        </w:tc>
        <w:tc>
          <w:tcPr>
            <w:tcW w:type="dxa" w:w="318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tcPr>
          <w:p>
            <w:pPr>
              <w:jc w:val="left"/>
            </w:pPr>
            <w:r>
              <w:rPr>
                <w:rFonts w:ascii="Arial" w:cs="Arial" w:eastAsia="Arial" w:hAnsi="Arial"/>
                <w:b/>
                <w:bCs/>
                <w:i w:val="false"/>
                <w:iCs w:val="false"/>
                <w:caps/>
                <w:color w:val="FFFFFF"/>
                <w:sz w:val="19"/>
                <w:szCs w:val="19"/>
              </w:rPr>
              <w:t xml:space="preserve">IA Mitigation</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Navigation hallucination</w:t>
            </w:r>
          </w:p>
        </w:tc>
        <w:tc>
          <w:tcPr>
            <w:tcW w:type="dxa" w:w="31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Cloud LLM generates turn-by-turn without real map data</w:t>
            </w:r>
          </w:p>
        </w:tc>
        <w:tc>
          <w:tcPr>
            <w:tcW w:type="dxa" w:w="31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Hallucination detection flags fabricated route data</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Ambiguous intent dispatch</w:t>
            </w:r>
          </w:p>
        </w:tc>
        <w:tc>
          <w:tcPr>
            <w:tcW w:type="dxa" w:w="318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Single-word voice commands sent raw to models</w:t>
            </w:r>
          </w:p>
        </w:tc>
        <w:tc>
          <w:tcPr>
            <w:tcW w:type="dxa" w:w="318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Intent classifier resolves ambiguity before any model sees the request</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Model timeout in emergency</w:t>
            </w:r>
          </w:p>
        </w:tc>
        <w:tc>
          <w:tcPr>
            <w:tcW w:type="dxa" w:w="31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Cloud model unavailable during critical scenario</w:t>
            </w:r>
          </w:p>
        </w:tc>
        <w:tc>
          <w:tcPr>
            <w:tcW w:type="dxa" w:w="31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FALLBACK_CHAIN strategy guarantees on-device response</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Unauthorized command execution</w:t>
            </w:r>
          </w:p>
        </w:tc>
        <w:tc>
          <w:tcPr>
            <w:tcW w:type="dxa" w:w="318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Privileged system command without authentication</w:t>
            </w:r>
          </w:p>
        </w:tc>
        <w:tc>
          <w:tcPr>
            <w:tcW w:type="dxa" w:w="318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CAC/PIV gate blocks dispatch without valid auth token</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Contradictory multi-model output</w:t>
            </w:r>
          </w:p>
        </w:tc>
        <w:tc>
          <w:tcPr>
            <w:tcW w:type="dxa" w:w="31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Parallel models return opposing recommendations</w:t>
            </w:r>
          </w:p>
        </w:tc>
        <w:tc>
          <w:tcPr>
            <w:tcW w:type="dxa" w:w="31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Contradiction detector flags MAJOR contradictions, outputs highest-confidence anchor</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Real-time scheduling collision</w:t>
            </w:r>
          </w:p>
        </w:tc>
        <w:tc>
          <w:tcPr>
            <w:tcW w:type="dxa" w:w="318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AI processing blocks vehicle control threads</w:t>
            </w:r>
          </w:p>
        </w:tc>
        <w:tc>
          <w:tcPr>
            <w:tcW w:type="dxa" w:w="318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RT-PREEMPT interface enforces scheduling priority for safety-critical processes</w:t>
            </w:r>
          </w:p>
        </w:tc>
      </w:tr>
    </w:tbl>
    <w:p>
      <w:pPr>
        <w:spacing w:after="0" w:before="0"/>
      </w:pPr>
      <w:r>
        <w:br w:type="page"/>
      </w:r>
    </w:p>
    <w:p>
      <w:pPr>
        <w:pStyle w:val="Heading1"/>
        <w:pBdr>
          <w:bottom w:val="single" w:color="00C4A0" w:sz="8" w:space="4"/>
        </w:pBdr>
        <w:spacing w:after="180" w:before="360"/>
      </w:pPr>
      <w:r>
        <w:rPr>
          <w:rFonts w:ascii="Arial" w:cs="Arial" w:eastAsia="Arial" w:hAnsi="Arial"/>
          <w:b/>
          <w:bCs/>
          <w:sz w:val="32"/>
          <w:szCs w:val="32"/>
        </w:rPr>
        <w:t xml:space="preserve">3. Architecture Overview</w:t>
      </w:r>
    </w:p>
    <w:p>
      <w:pPr>
        <w:pStyle w:val="Heading2"/>
        <w:spacing w:after="120" w:before="280"/>
      </w:pPr>
      <w:r>
        <w:rPr>
          <w:rFonts w:ascii="Arial" w:cs="Arial" w:eastAsia="Arial" w:hAnsi="Arial"/>
          <w:b/>
          <w:bCs/>
          <w:color w:val="1E293B"/>
          <w:sz w:val="26"/>
          <w:szCs w:val="26"/>
        </w:rPr>
        <w:t xml:space="preserve">3.1 The Six-Layer Stack</w:t>
      </w:r>
    </w:p>
    <w:p>
      <w:pPr>
        <w:spacing w:after="80" w:before="80" w:line="300"/>
        <w:jc w:val="left"/>
      </w:pPr>
      <w:r>
        <w:rPr>
          <w:rFonts w:ascii="Arial" w:cs="Arial" w:eastAsia="Arial" w:hAnsi="Arial"/>
          <w:b w:val="false"/>
          <w:bCs w:val="false"/>
          <w:i w:val="false"/>
          <w:iCs w:val="false"/>
          <w:caps w:val="false"/>
          <w:color w:val="1E293B"/>
          <w:sz w:val="22"/>
          <w:szCs w:val="22"/>
        </w:rPr>
        <w:t xml:space="preserve">The IA is structured as a six-layer pipeline. Each layer has a single responsibility, defined interfaces, and can be replaced or upgraded independently. The layers are:</w:t>
      </w:r>
    </w:p>
    <w:p>
      <w:pPr>
        <w:spacing w:after="0" w:before="80"/>
      </w:pPr>
      <w:r>
        <w:rPr>
          <w:rFonts w:ascii="Arial" w:cs="Arial" w:eastAsia="Arial" w:hAnsi="Arial"/>
          <w:b w:val="false"/>
          <w:bCs w:val="false"/>
          <w:i w:val="false"/>
          <w:iCs w:val="false"/>
          <w:caps w:val="false"/>
          <w:color w:val="1E293B"/>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0C4A0" w:val="clear"/>
            <w:tcMar>
              <w:top w:type="dxa" w:w="120"/>
              <w:left w:type="dxa" w:w="120"/>
              <w:bottom w:type="dxa" w:w="120"/>
              <w:right w:type="dxa" w:w="100"/>
            </w:tcMar>
            <w:vAlign w:val="center"/>
          </w:tcPr>
          <w:p>
            <w:pPr>
              <w:jc w:val="center"/>
            </w:pPr>
            <w:r>
              <w:rPr>
                <w:rFonts w:ascii="Arial" w:cs="Arial" w:eastAsia="Arial" w:hAnsi="Arial"/>
                <w:b/>
                <w:bCs/>
                <w:i w:val="false"/>
                <w:iCs w:val="false"/>
                <w:caps w:val="false"/>
                <w:color w:val="FFFFFF"/>
                <w:sz w:val="32"/>
                <w:szCs w:val="32"/>
              </w:rPr>
              <w:t xml:space="preserve">01</w:t>
            </w:r>
          </w:p>
          <w:p>
            <w:pPr>
              <w:jc w:val="center"/>
            </w:pPr>
            <w:r>
              <w:rPr>
                <w:rFonts w:ascii="Arial" w:cs="Arial" w:eastAsia="Arial" w:hAnsi="Arial"/>
                <w:b/>
                <w:bCs/>
                <w:i w:val="false"/>
                <w:iCs w:val="false"/>
                <w:caps w:val="false"/>
                <w:color w:val="FFFFFF"/>
                <w:sz w:val="14"/>
                <w:szCs w:val="14"/>
              </w:rPr>
              <w:t xml:space="preserve">INPUT</w:t>
            </w:r>
          </w:p>
        </w:tc>
        <w:tc>
          <w:tcPr>
            <w:tcW w:type="dxa" w:w="7920"/>
            <w:tcBorders>
              <w:top w:val="none" w:color="FFFFFF" w:sz="0"/>
              <w:left w:val="none" w:color="FFFFFF" w:sz="0"/>
              <w:bottom w:val="none" w:color="FFFFFF" w:sz="0"/>
              <w:right w:val="none" w:color="FFFFFF" w:sz="0"/>
            </w:tcBorders>
            <w:shd w:fill="E6FAF7" w:val="clear"/>
            <w:tcMar>
              <w:top w:type="dxa" w:w="100"/>
              <w:left w:type="dxa" w:w="160"/>
              <w:bottom w:type="dxa" w:w="100"/>
              <w:right w:type="dxa" w:w="120"/>
            </w:tcMar>
          </w:tcPr>
          <w:p>
            <w:pPr>
              <w:spacing w:after="60"/>
            </w:pPr>
            <w:r>
              <w:rPr>
                <w:rFonts w:ascii="Arial" w:cs="Arial" w:eastAsia="Arial" w:hAnsi="Arial"/>
                <w:b w:val="false"/>
                <w:bCs w:val="false"/>
                <w:i/>
                <w:iCs/>
                <w:caps w:val="false"/>
                <w:color w:val="334155"/>
                <w:sz w:val="20"/>
                <w:szCs w:val="20"/>
              </w:rPr>
              <w:t xml:space="preserve">Accepts all signal types without filtering. Publishes a unified input stream consumed by the Intent Engine.</w:t>
            </w:r>
          </w:p>
          <w:p>
            <w:pPr>
              <w:spacing w:after="40"/>
            </w:pPr>
            <w:r>
              <w:rPr>
                <w:rFonts w:ascii="Arial" w:cs="Arial" w:eastAsia="Arial" w:hAnsi="Arial"/>
                <w:b w:val="false"/>
                <w:bCs w:val="false"/>
                <w:i w:val="false"/>
                <w:iCs w:val="false"/>
                <w:caps w:val="false"/>
                <w:color w:val="64748B"/>
                <w:sz w:val="18"/>
                <w:szCs w:val="18"/>
              </w:rPr>
              <w:t xml:space="preserve">Components: Voice/STT  •  Text  •  Vision  •  CAN Bus  •  GPS/ALE  •  CAC/PIV</w:t>
            </w:r>
          </w:p>
        </w:tc>
      </w:tr>
    </w:tbl>
    <w:p>
      <w:pPr>
        <w:spacing w:after="0" w:before="80"/>
      </w:pPr>
      <w:r>
        <w:rPr>
          <w:rFonts w:ascii="Arial" w:cs="Arial" w:eastAsia="Arial" w:hAnsi="Arial"/>
          <w:b w:val="false"/>
          <w:bCs w:val="false"/>
          <w:i w:val="false"/>
          <w:iCs w:val="false"/>
          <w:caps w:val="false"/>
          <w:color w:val="1E293B"/>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C8930A" w:val="clear"/>
            <w:tcMar>
              <w:top w:type="dxa" w:w="120"/>
              <w:left w:type="dxa" w:w="120"/>
              <w:bottom w:type="dxa" w:w="120"/>
              <w:right w:type="dxa" w:w="100"/>
            </w:tcMar>
            <w:vAlign w:val="center"/>
          </w:tcPr>
          <w:p>
            <w:pPr>
              <w:jc w:val="center"/>
            </w:pPr>
            <w:r>
              <w:rPr>
                <w:rFonts w:ascii="Arial" w:cs="Arial" w:eastAsia="Arial" w:hAnsi="Arial"/>
                <w:b/>
                <w:bCs/>
                <w:i w:val="false"/>
                <w:iCs w:val="false"/>
                <w:caps w:val="false"/>
                <w:color w:val="FFFFFF"/>
                <w:sz w:val="32"/>
                <w:szCs w:val="32"/>
              </w:rPr>
              <w:t xml:space="preserve">02</w:t>
            </w:r>
          </w:p>
          <w:p>
            <w:pPr>
              <w:jc w:val="center"/>
            </w:pPr>
            <w:r>
              <w:rPr>
                <w:rFonts w:ascii="Arial" w:cs="Arial" w:eastAsia="Arial" w:hAnsi="Arial"/>
                <w:b/>
                <w:bCs/>
                <w:i w:val="false"/>
                <w:iCs w:val="false"/>
                <w:caps w:val="false"/>
                <w:color w:val="FFFFFF"/>
                <w:sz w:val="14"/>
                <w:szCs w:val="14"/>
              </w:rPr>
              <w:t xml:space="preserve">INTENT</w:t>
            </w:r>
          </w:p>
        </w:tc>
        <w:tc>
          <w:tcPr>
            <w:tcW w:type="dxa" w:w="7920"/>
            <w:tcBorders>
              <w:top w:val="none" w:color="FFFFFF" w:sz="0"/>
              <w:left w:val="none" w:color="FFFFFF" w:sz="0"/>
              <w:bottom w:val="none" w:color="FFFFFF" w:sz="0"/>
              <w:right w:val="none" w:color="FFFFFF" w:sz="0"/>
            </w:tcBorders>
            <w:shd w:fill="FFF8E6" w:val="clear"/>
            <w:tcMar>
              <w:top w:type="dxa" w:w="100"/>
              <w:left w:type="dxa" w:w="160"/>
              <w:bottom w:type="dxa" w:w="100"/>
              <w:right w:type="dxa" w:w="120"/>
            </w:tcMar>
          </w:tcPr>
          <w:p>
            <w:pPr>
              <w:spacing w:after="60"/>
            </w:pPr>
            <w:r>
              <w:rPr>
                <w:rFonts w:ascii="Arial" w:cs="Arial" w:eastAsia="Arial" w:hAnsi="Arial"/>
                <w:b w:val="false"/>
                <w:bCs w:val="false"/>
                <w:i/>
                <w:iCs/>
                <w:caps w:val="false"/>
                <w:color w:val="334155"/>
                <w:sz w:val="20"/>
                <w:szCs w:val="20"/>
              </w:rPr>
              <w:t xml:space="preserve">Disambiguates operator intent, maintains cross-modal session context, and assigns domain, priority, and auth requirements.</w:t>
            </w:r>
          </w:p>
          <w:p>
            <w:pPr>
              <w:spacing w:after="40"/>
            </w:pPr>
            <w:r>
              <w:rPr>
                <w:rFonts w:ascii="Arial" w:cs="Arial" w:eastAsia="Arial" w:hAnsi="Arial"/>
                <w:b w:val="false"/>
                <w:bCs w:val="false"/>
                <w:i w:val="false"/>
                <w:iCs w:val="false"/>
                <w:caps w:val="false"/>
                <w:color w:val="64748B"/>
                <w:sz w:val="18"/>
                <w:szCs w:val="18"/>
              </w:rPr>
              <w:t xml:space="preserve">Components: Intent Classifier  •  Ambiguity Resolver  •  Session State  •  Domain Tagger  •  Priority Arbiter</w:t>
            </w:r>
          </w:p>
        </w:tc>
      </w:tr>
    </w:tbl>
    <w:p>
      <w:pPr>
        <w:spacing w:after="0" w:before="80"/>
      </w:pPr>
      <w:r>
        <w:rPr>
          <w:rFonts w:ascii="Arial" w:cs="Arial" w:eastAsia="Arial" w:hAnsi="Arial"/>
          <w:b w:val="false"/>
          <w:bCs w:val="false"/>
          <w:i w:val="false"/>
          <w:iCs w:val="false"/>
          <w:caps w:val="false"/>
          <w:color w:val="1E293B"/>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C75A00" w:val="clear"/>
            <w:tcMar>
              <w:top w:type="dxa" w:w="120"/>
              <w:left w:type="dxa" w:w="120"/>
              <w:bottom w:type="dxa" w:w="120"/>
              <w:right w:type="dxa" w:w="100"/>
            </w:tcMar>
            <w:vAlign w:val="center"/>
          </w:tcPr>
          <w:p>
            <w:pPr>
              <w:jc w:val="center"/>
            </w:pPr>
            <w:r>
              <w:rPr>
                <w:rFonts w:ascii="Arial" w:cs="Arial" w:eastAsia="Arial" w:hAnsi="Arial"/>
                <w:b/>
                <w:bCs/>
                <w:i w:val="false"/>
                <w:iCs w:val="false"/>
                <w:caps w:val="false"/>
                <w:color w:val="FFFFFF"/>
                <w:sz w:val="32"/>
                <w:szCs w:val="32"/>
              </w:rPr>
              <w:t xml:space="preserve">03</w:t>
            </w:r>
          </w:p>
          <w:p>
            <w:pPr>
              <w:jc w:val="center"/>
            </w:pPr>
            <w:r>
              <w:rPr>
                <w:rFonts w:ascii="Arial" w:cs="Arial" w:eastAsia="Arial" w:hAnsi="Arial"/>
                <w:b/>
                <w:bCs/>
                <w:i w:val="false"/>
                <w:iCs w:val="false"/>
                <w:caps w:val="false"/>
                <w:color w:val="FFFFFF"/>
                <w:sz w:val="14"/>
                <w:szCs w:val="14"/>
              </w:rPr>
              <w:t xml:space="preserve">PROMPT</w:t>
            </w:r>
          </w:p>
        </w:tc>
        <w:tc>
          <w:tcPr>
            <w:tcW w:type="dxa" w:w="7920"/>
            <w:tcBorders>
              <w:top w:val="none" w:color="FFFFFF" w:sz="0"/>
              <w:left w:val="none" w:color="FFFFFF" w:sz="0"/>
              <w:bottom w:val="none" w:color="FFFFFF" w:sz="0"/>
              <w:right w:val="none" w:color="FFFFFF" w:sz="0"/>
            </w:tcBorders>
            <w:shd w:fill="FFF0E6" w:val="clear"/>
            <w:tcMar>
              <w:top w:type="dxa" w:w="100"/>
              <w:left w:type="dxa" w:w="160"/>
              <w:bottom w:type="dxa" w:w="100"/>
              <w:right w:type="dxa" w:w="120"/>
            </w:tcMar>
          </w:tcPr>
          <w:p>
            <w:pPr>
              <w:spacing w:after="60"/>
            </w:pPr>
            <w:r>
              <w:rPr>
                <w:rFonts w:ascii="Arial" w:cs="Arial" w:eastAsia="Arial" w:hAnsi="Arial"/>
                <w:b w:val="false"/>
                <w:bCs w:val="false"/>
                <w:i/>
                <w:iCs/>
                <w:caps w:val="false"/>
                <w:color w:val="334155"/>
                <w:sz w:val="20"/>
                <w:szCs w:val="20"/>
              </w:rPr>
              <w:t xml:space="preserve">Constructs optimized prompts per target model. Different structure, vocabulary, and constraints per model family.</w:t>
            </w:r>
          </w:p>
          <w:p>
            <w:pPr>
              <w:spacing w:after="40"/>
            </w:pPr>
            <w:r>
              <w:rPr>
                <w:rFonts w:ascii="Arial" w:cs="Arial" w:eastAsia="Arial" w:hAnsi="Arial"/>
                <w:b w:val="false"/>
                <w:bCs w:val="false"/>
                <w:i w:val="false"/>
                <w:iCs w:val="false"/>
                <w:caps w:val="false"/>
                <w:color w:val="64748B"/>
                <w:sz w:val="18"/>
                <w:szCs w:val="18"/>
              </w:rPr>
              <w:t xml:space="preserve">Components: Claude Template Engine  •  TFLite Adapter  •  Vision Formatter  •  Token Budget Manager  •  Constraint Injector</w:t>
            </w:r>
          </w:p>
        </w:tc>
      </w:tr>
    </w:tbl>
    <w:p>
      <w:pPr>
        <w:spacing w:after="0" w:before="80"/>
      </w:pPr>
      <w:r>
        <w:rPr>
          <w:rFonts w:ascii="Arial" w:cs="Arial" w:eastAsia="Arial" w:hAnsi="Arial"/>
          <w:b w:val="false"/>
          <w:bCs w:val="false"/>
          <w:i w:val="false"/>
          <w:iCs w:val="false"/>
          <w:caps w:val="false"/>
          <w:color w:val="1E293B"/>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6B21A8" w:val="clear"/>
            <w:tcMar>
              <w:top w:type="dxa" w:w="120"/>
              <w:left w:type="dxa" w:w="120"/>
              <w:bottom w:type="dxa" w:w="120"/>
              <w:right w:type="dxa" w:w="100"/>
            </w:tcMar>
            <w:vAlign w:val="center"/>
          </w:tcPr>
          <w:p>
            <w:pPr>
              <w:jc w:val="center"/>
            </w:pPr>
            <w:r>
              <w:rPr>
                <w:rFonts w:ascii="Arial" w:cs="Arial" w:eastAsia="Arial" w:hAnsi="Arial"/>
                <w:b/>
                <w:bCs/>
                <w:i w:val="false"/>
                <w:iCs w:val="false"/>
                <w:caps w:val="false"/>
                <w:color w:val="FFFFFF"/>
                <w:sz w:val="32"/>
                <w:szCs w:val="32"/>
              </w:rPr>
              <w:t xml:space="preserve">04</w:t>
            </w:r>
          </w:p>
          <w:p>
            <w:pPr>
              <w:jc w:val="center"/>
            </w:pPr>
            <w:r>
              <w:rPr>
                <w:rFonts w:ascii="Arial" w:cs="Arial" w:eastAsia="Arial" w:hAnsi="Arial"/>
                <w:b/>
                <w:bCs/>
                <w:i w:val="false"/>
                <w:iCs w:val="false"/>
                <w:caps w:val="false"/>
                <w:color w:val="FFFFFF"/>
                <w:sz w:val="14"/>
                <w:szCs w:val="14"/>
              </w:rPr>
              <w:t xml:space="preserve">ORCHESTRATE</w:t>
            </w:r>
          </w:p>
        </w:tc>
        <w:tc>
          <w:tcPr>
            <w:tcW w:type="dxa" w:w="7920"/>
            <w:tcBorders>
              <w:top w:val="none" w:color="FFFFFF" w:sz="0"/>
              <w:left w:val="none" w:color="FFFFFF" w:sz="0"/>
              <w:bottom w:val="none" w:color="FFFFFF" w:sz="0"/>
              <w:right w:val="none" w:color="FFFFFF" w:sz="0"/>
            </w:tcBorders>
            <w:shd w:fill="F3E8FF" w:val="clear"/>
            <w:tcMar>
              <w:top w:type="dxa" w:w="100"/>
              <w:left w:type="dxa" w:w="160"/>
              <w:bottom w:type="dxa" w:w="100"/>
              <w:right w:type="dxa" w:w="120"/>
            </w:tcMar>
          </w:tcPr>
          <w:p>
            <w:pPr>
              <w:spacing w:after="60"/>
            </w:pPr>
            <w:r>
              <w:rPr>
                <w:rFonts w:ascii="Arial" w:cs="Arial" w:eastAsia="Arial" w:hAnsi="Arial"/>
                <w:b w:val="false"/>
                <w:bCs w:val="false"/>
                <w:i/>
                <w:iCs/>
                <w:caps w:val="false"/>
                <w:color w:val="334155"/>
                <w:sz w:val="20"/>
                <w:szCs w:val="20"/>
              </w:rPr>
              <w:t xml:space="preserve">Routes, parallelizes, and races models. Selects strategy based on intent confidence and domain. Enforces timeouts.</w:t>
            </w:r>
          </w:p>
          <w:p>
            <w:pPr>
              <w:spacing w:after="40"/>
            </w:pPr>
            <w:r>
              <w:rPr>
                <w:rFonts w:ascii="Arial" w:cs="Arial" w:eastAsia="Arial" w:hAnsi="Arial"/>
                <w:b w:val="false"/>
                <w:bCs w:val="false"/>
                <w:i w:val="false"/>
                <w:iCs w:val="false"/>
                <w:caps w:val="false"/>
                <w:color w:val="64748B"/>
                <w:sz w:val="18"/>
                <w:szCs w:val="18"/>
              </w:rPr>
              <w:t xml:space="preserve">Components: Cloud Router  •  On-Device Runner  •  Vision Specialist  •  Code Model Lane  •  Parallel Arbitration Bus</w:t>
            </w:r>
          </w:p>
        </w:tc>
      </w:tr>
    </w:tbl>
    <w:p>
      <w:pPr>
        <w:spacing w:after="0" w:before="80"/>
      </w:pPr>
      <w:r>
        <w:rPr>
          <w:rFonts w:ascii="Arial" w:cs="Arial" w:eastAsia="Arial" w:hAnsi="Arial"/>
          <w:b w:val="false"/>
          <w:bCs w:val="false"/>
          <w:i w:val="false"/>
          <w:iCs w:val="false"/>
          <w:caps w:val="false"/>
          <w:color w:val="1E293B"/>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E7490" w:val="clear"/>
            <w:tcMar>
              <w:top w:type="dxa" w:w="120"/>
              <w:left w:type="dxa" w:w="120"/>
              <w:bottom w:type="dxa" w:w="120"/>
              <w:right w:type="dxa" w:w="100"/>
            </w:tcMar>
            <w:vAlign w:val="center"/>
          </w:tcPr>
          <w:p>
            <w:pPr>
              <w:jc w:val="center"/>
            </w:pPr>
            <w:r>
              <w:rPr>
                <w:rFonts w:ascii="Arial" w:cs="Arial" w:eastAsia="Arial" w:hAnsi="Arial"/>
                <w:b/>
                <w:bCs/>
                <w:i w:val="false"/>
                <w:iCs w:val="false"/>
                <w:caps w:val="false"/>
                <w:color w:val="FFFFFF"/>
                <w:sz w:val="32"/>
                <w:szCs w:val="32"/>
              </w:rPr>
              <w:t xml:space="preserve">05</w:t>
            </w:r>
          </w:p>
          <w:p>
            <w:pPr>
              <w:jc w:val="center"/>
            </w:pPr>
            <w:r>
              <w:rPr>
                <w:rFonts w:ascii="Arial" w:cs="Arial" w:eastAsia="Arial" w:hAnsi="Arial"/>
                <w:b/>
                <w:bCs/>
                <w:i w:val="false"/>
                <w:iCs w:val="false"/>
                <w:caps w:val="false"/>
                <w:color w:val="FFFFFF"/>
                <w:sz w:val="14"/>
                <w:szCs w:val="14"/>
              </w:rPr>
              <w:t xml:space="preserve">EVALUATE</w:t>
            </w:r>
          </w:p>
        </w:tc>
        <w:tc>
          <w:tcPr>
            <w:tcW w:type="dxa" w:w="7920"/>
            <w:tcBorders>
              <w:top w:val="none" w:color="FFFFFF" w:sz="0"/>
              <w:left w:val="none" w:color="FFFFFF" w:sz="0"/>
              <w:bottom w:val="none" w:color="FFFFFF" w:sz="0"/>
              <w:right w:val="none" w:color="FFFFFF" w:sz="0"/>
            </w:tcBorders>
            <w:shd w:fill="E0F7FA" w:val="clear"/>
            <w:tcMar>
              <w:top w:type="dxa" w:w="100"/>
              <w:left w:type="dxa" w:w="160"/>
              <w:bottom w:type="dxa" w:w="100"/>
              <w:right w:type="dxa" w:w="120"/>
            </w:tcMar>
          </w:tcPr>
          <w:p>
            <w:pPr>
              <w:spacing w:after="60"/>
            </w:pPr>
            <w:r>
              <w:rPr>
                <w:rFonts w:ascii="Arial" w:cs="Arial" w:eastAsia="Arial" w:hAnsi="Arial"/>
                <w:b w:val="false"/>
                <w:bCs w:val="false"/>
                <w:i/>
                <w:iCs/>
                <w:caps w:val="false"/>
                <w:color w:val="334155"/>
                <w:sz w:val="20"/>
                <w:szCs w:val="20"/>
              </w:rPr>
              <w:t xml:space="preserve">Scores every response. Synthesizes multi-model outputs into one coherent, graded answer with a confidence signature.</w:t>
            </w:r>
          </w:p>
          <w:p>
            <w:pPr>
              <w:spacing w:after="40"/>
            </w:pPr>
            <w:r>
              <w:rPr>
                <w:rFonts w:ascii="Arial" w:cs="Arial" w:eastAsia="Arial" w:hAnsi="Arial"/>
                <w:b w:val="false"/>
                <w:bCs w:val="false"/>
                <w:i w:val="false"/>
                <w:iCs w:val="false"/>
                <w:caps w:val="false"/>
                <w:color w:val="64748B"/>
                <w:sz w:val="18"/>
                <w:szCs w:val="18"/>
              </w:rPr>
              <w:t xml:space="preserve">Components: Confidence Scorer  •  Domain Relevance Ranker  •  Hallucination Detector  •  Contradiction Flagger  •  Synthesizer</w:t>
            </w:r>
          </w:p>
        </w:tc>
      </w:tr>
    </w:tbl>
    <w:p>
      <w:pPr>
        <w:spacing w:after="0" w:before="80"/>
      </w:pPr>
      <w:r>
        <w:rPr>
          <w:rFonts w:ascii="Arial" w:cs="Arial" w:eastAsia="Arial" w:hAnsi="Arial"/>
          <w:b w:val="false"/>
          <w:bCs w:val="false"/>
          <w:i w:val="false"/>
          <w:iCs w:val="false"/>
          <w:caps w:val="false"/>
          <w:color w:val="1E293B"/>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B91C1C" w:val="clear"/>
            <w:tcMar>
              <w:top w:type="dxa" w:w="120"/>
              <w:left w:type="dxa" w:w="120"/>
              <w:bottom w:type="dxa" w:w="120"/>
              <w:right w:type="dxa" w:w="100"/>
            </w:tcMar>
            <w:vAlign w:val="center"/>
          </w:tcPr>
          <w:p>
            <w:pPr>
              <w:jc w:val="center"/>
            </w:pPr>
            <w:r>
              <w:rPr>
                <w:rFonts w:ascii="Arial" w:cs="Arial" w:eastAsia="Arial" w:hAnsi="Arial"/>
                <w:b/>
                <w:bCs/>
                <w:i w:val="false"/>
                <w:iCs w:val="false"/>
                <w:caps w:val="false"/>
                <w:color w:val="FFFFFF"/>
                <w:sz w:val="32"/>
                <w:szCs w:val="32"/>
              </w:rPr>
              <w:t xml:space="preserve">06</w:t>
            </w:r>
          </w:p>
          <w:p>
            <w:pPr>
              <w:jc w:val="center"/>
            </w:pPr>
            <w:r>
              <w:rPr>
                <w:rFonts w:ascii="Arial" w:cs="Arial" w:eastAsia="Arial" w:hAnsi="Arial"/>
                <w:b/>
                <w:bCs/>
                <w:i w:val="false"/>
                <w:iCs w:val="false"/>
                <w:caps w:val="false"/>
                <w:color w:val="FFFFFF"/>
                <w:sz w:val="14"/>
                <w:szCs w:val="14"/>
              </w:rPr>
              <w:t xml:space="preserve">AAC LAYER</w:t>
            </w:r>
          </w:p>
        </w:tc>
        <w:tc>
          <w:tcPr>
            <w:tcW w:type="dxa" w:w="7920"/>
            <w:tcBorders>
              <w:top w:val="none" w:color="FFFFFF" w:sz="0"/>
              <w:left w:val="none" w:color="FFFFFF" w:sz="0"/>
              <w:bottom w:val="none" w:color="FFFFFF" w:sz="0"/>
              <w:right w:val="none" w:color="FFFFFF" w:sz="0"/>
            </w:tcBorders>
            <w:shd w:fill="FEE2E2" w:val="clear"/>
            <w:tcMar>
              <w:top w:type="dxa" w:w="100"/>
              <w:left w:type="dxa" w:w="160"/>
              <w:bottom w:type="dxa" w:w="100"/>
              <w:right w:type="dxa" w:w="120"/>
            </w:tcMar>
          </w:tcPr>
          <w:p>
            <w:pPr>
              <w:spacing w:after="60"/>
            </w:pPr>
            <w:r>
              <w:rPr>
                <w:rFonts w:ascii="Arial" w:cs="Arial" w:eastAsia="Arial" w:hAnsi="Arial"/>
                <w:b w:val="false"/>
                <w:bCs w:val="false"/>
                <w:i/>
                <w:iCs/>
                <w:caps w:val="false"/>
                <w:color w:val="334155"/>
                <w:sz w:val="20"/>
                <w:szCs w:val="20"/>
              </w:rPr>
              <w:t xml:space="preserve">Fires Android Intents, enforces authentication, interfaces with RT-PREEMPT scheduling, and writes the full audit trail.</w:t>
            </w:r>
          </w:p>
          <w:p>
            <w:pPr>
              <w:spacing w:after="40"/>
            </w:pPr>
            <w:r>
              <w:rPr>
                <w:rFonts w:ascii="Arial" w:cs="Arial" w:eastAsia="Arial" w:hAnsi="Arial"/>
                <w:b w:val="false"/>
                <w:bCs w:val="false"/>
                <w:i w:val="false"/>
                <w:iCs w:val="false"/>
                <w:caps w:val="false"/>
                <w:color w:val="64748B"/>
                <w:sz w:val="18"/>
                <w:szCs w:val="18"/>
              </w:rPr>
              <w:t xml:space="preserve">Components: Intent Dispatcher  •  RT-PREEMPT Interface  •  CAC/PIV Gateway  •  Command Bus  •  Audit Trail Writer</w:t>
            </w:r>
          </w:p>
        </w:tc>
      </w:tr>
    </w:tbl>
    <w:p>
      <w:pPr>
        <w:spacing w:after="0" w:before="80"/>
      </w:pPr>
      <w:r>
        <w:rPr>
          <w:rFonts w:ascii="Arial" w:cs="Arial" w:eastAsia="Arial" w:hAnsi="Arial"/>
          <w:b w:val="false"/>
          <w:bCs w:val="false"/>
          <w:i w:val="false"/>
          <w:iCs w:val="false"/>
          <w:caps w:val="false"/>
          <w:color w:val="1E293B"/>
          <w:sz w:val="10"/>
          <w:szCs w:val="10"/>
        </w:rPr>
        <w:t xml:space="preserve"/>
      </w:r>
    </w:p>
    <w:p>
      <w:pPr>
        <w:pStyle w:val="Heading2"/>
        <w:spacing w:after="120" w:before="280"/>
      </w:pPr>
      <w:r>
        <w:rPr>
          <w:rFonts w:ascii="Arial" w:cs="Arial" w:eastAsia="Arial" w:hAnsi="Arial"/>
          <w:b/>
          <w:bCs/>
          <w:color w:val="1E293B"/>
          <w:sz w:val="26"/>
          <w:szCs w:val="26"/>
        </w:rPr>
        <w:t xml:space="preserve">3.2 Data Flow</w:t>
      </w:r>
    </w:p>
    <w:p>
      <w:pPr>
        <w:spacing w:after="80" w:before="80" w:line="300"/>
        <w:jc w:val="left"/>
      </w:pPr>
      <w:r>
        <w:rPr>
          <w:rFonts w:ascii="Arial" w:cs="Arial" w:eastAsia="Arial" w:hAnsi="Arial"/>
          <w:b w:val="false"/>
          <w:bCs w:val="false"/>
          <w:i w:val="false"/>
          <w:iCs w:val="false"/>
          <w:caps w:val="false"/>
          <w:color w:val="1E293B"/>
          <w:sz w:val="22"/>
          <w:szCs w:val="22"/>
        </w:rPr>
        <w:t xml:space="preserve">A single operator query traverses all six layers in under 500ms for on-device-only queries, and under 8 seconds for cloud-dependent queries (with a 2-second on-device fallback guarantee). The pipeline is structured as a coroutine-based processing chain, enabling concurrent layer execution where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660"/>
      </w:tblGrid>
      <w:tr>
        <w:trPr>
          <w:tblHeader/>
        </w:trPr>
        <w:tc>
          <w:tcPr>
            <w:tcW w:type="dxa" w:w="20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tcPr>
          <w:p>
            <w:pPr>
              <w:jc w:val="left"/>
            </w:pPr>
            <w:r>
              <w:rPr>
                <w:rFonts w:ascii="Arial" w:cs="Arial" w:eastAsia="Arial" w:hAnsi="Arial"/>
                <w:b/>
                <w:bCs/>
                <w:i w:val="false"/>
                <w:iCs w:val="false"/>
                <w:caps/>
                <w:color w:val="FFFFFF"/>
                <w:sz w:val="19"/>
                <w:szCs w:val="19"/>
              </w:rPr>
              <w:t xml:space="preserve">Layer</w:t>
            </w:r>
          </w:p>
        </w:tc>
        <w:tc>
          <w:tcPr>
            <w:tcW w:type="dxa" w:w="22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tcPr>
          <w:p>
            <w:pPr>
              <w:jc w:val="left"/>
            </w:pPr>
            <w:r>
              <w:rPr>
                <w:rFonts w:ascii="Arial" w:cs="Arial" w:eastAsia="Arial" w:hAnsi="Arial"/>
                <w:b/>
                <w:bCs/>
                <w:i w:val="false"/>
                <w:iCs w:val="false"/>
                <w:caps/>
                <w:color w:val="FFFFFF"/>
                <w:sz w:val="19"/>
                <w:szCs w:val="19"/>
              </w:rPr>
              <w:t xml:space="preserve">Input</w:t>
            </w:r>
          </w:p>
        </w:tc>
        <w:tc>
          <w:tcPr>
            <w:tcW w:type="dxa" w:w="25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tcPr>
          <w:p>
            <w:pPr>
              <w:jc w:val="left"/>
            </w:pPr>
            <w:r>
              <w:rPr>
                <w:rFonts w:ascii="Arial" w:cs="Arial" w:eastAsia="Arial" w:hAnsi="Arial"/>
                <w:b/>
                <w:bCs/>
                <w:i w:val="false"/>
                <w:iCs w:val="false"/>
                <w:caps/>
                <w:color w:val="FFFFFF"/>
                <w:sz w:val="19"/>
                <w:szCs w:val="19"/>
              </w:rPr>
              <w:t xml:space="preserve">Output</w:t>
            </w:r>
          </w:p>
        </w:tc>
        <w:tc>
          <w:tcPr>
            <w:tcW w:type="dxa" w:w="266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tcPr>
          <w:p>
            <w:pPr>
              <w:jc w:val="left"/>
            </w:pPr>
            <w:r>
              <w:rPr>
                <w:rFonts w:ascii="Arial" w:cs="Arial" w:eastAsia="Arial" w:hAnsi="Arial"/>
                <w:b/>
                <w:bCs/>
                <w:i w:val="false"/>
                <w:iCs w:val="false"/>
                <w:caps/>
                <w:color w:val="FFFFFF"/>
                <w:sz w:val="19"/>
                <w:szCs w:val="19"/>
              </w:rPr>
              <w:t xml:space="preserve">Typical Latency</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Input</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Raw signal (voice, text, sensor)</w:t>
            </w:r>
          </w:p>
        </w:tc>
        <w:tc>
          <w:tcPr>
            <w:tcW w:type="dxa" w:w="2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IAInput stream event</w:t>
            </w:r>
          </w:p>
        </w:tc>
        <w:tc>
          <w:tcPr>
            <w:tcW w:type="dxa" w:w="26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&lt; 50ms</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Intent</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IAInput list</w:t>
            </w:r>
          </w:p>
        </w:tc>
        <w:tc>
          <w:tcPr>
            <w:tcW w:type="dxa" w:w="25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ClassifiedIntent</w:t>
            </w:r>
          </w:p>
        </w:tc>
        <w:tc>
          <w:tcPr>
            <w:tcW w:type="dxa" w:w="26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120–200ms (TFLite)</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Prompt</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ClassifiedIntent + inputs</w:t>
            </w:r>
          </w:p>
        </w:tc>
        <w:tc>
          <w:tcPr>
            <w:tcW w:type="dxa" w:w="2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ConstructedPrompt per model</w:t>
            </w:r>
          </w:p>
        </w:tc>
        <w:tc>
          <w:tcPr>
            <w:tcW w:type="dxa" w:w="26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&lt; 10ms</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Orchestrate</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Prompts + strategy</w:t>
            </w:r>
          </w:p>
        </w:tc>
        <w:tc>
          <w:tcPr>
            <w:tcW w:type="dxa" w:w="25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List&lt;ModelResponse&gt;</w:t>
            </w:r>
          </w:p>
        </w:tc>
        <w:tc>
          <w:tcPr>
            <w:tcW w:type="dxa" w:w="26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80ms–8,000ms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Evaluate</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ModelResponse list</w:t>
            </w:r>
          </w:p>
        </w:tc>
        <w:tc>
          <w:tcPr>
            <w:tcW w:type="dxa" w:w="2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EvaluatedResponse</w:t>
            </w:r>
          </w:p>
        </w:tc>
        <w:tc>
          <w:tcPr>
            <w:tcW w:type="dxa" w:w="26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&lt; 30ms</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AAC Layer</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EvaluatedResponse + intent</w:t>
            </w:r>
          </w:p>
        </w:tc>
        <w:tc>
          <w:tcPr>
            <w:tcW w:type="dxa" w:w="25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IAResult + AuditEntry</w:t>
            </w:r>
          </w:p>
        </w:tc>
        <w:tc>
          <w:tcPr>
            <w:tcW w:type="dxa" w:w="26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&lt; 20ms</w:t>
            </w:r>
          </w:p>
        </w:tc>
      </w:tr>
    </w:tbl>
    <w:p>
      <w:pPr>
        <w:spacing w:after="0" w:before="0"/>
      </w:pPr>
      <w:r>
        <w:br w:type="page"/>
      </w:r>
    </w:p>
    <w:p>
      <w:pPr>
        <w:pStyle w:val="Heading1"/>
        <w:pBdr>
          <w:bottom w:val="single" w:color="00C4A0" w:sz="8" w:space="4"/>
        </w:pBdr>
        <w:spacing w:after="180" w:before="360"/>
      </w:pPr>
      <w:r>
        <w:rPr>
          <w:rFonts w:ascii="Arial" w:cs="Arial" w:eastAsia="Arial" w:hAnsi="Arial"/>
          <w:b/>
          <w:bCs/>
          <w:sz w:val="32"/>
          <w:szCs w:val="32"/>
        </w:rPr>
        <w:t xml:space="preserve">4. Layer-by-Layer Technical Specification</w:t>
      </w:r>
    </w:p>
    <w:p>
      <w:pPr>
        <w:pStyle w:val="Heading2"/>
        <w:spacing w:after="120" w:before="280"/>
      </w:pPr>
      <w:r>
        <w:rPr>
          <w:rFonts w:ascii="Arial" w:cs="Arial" w:eastAsia="Arial" w:hAnsi="Arial"/>
          <w:b/>
          <w:bCs/>
          <w:color w:val="1E293B"/>
          <w:sz w:val="26"/>
          <w:szCs w:val="26"/>
        </w:rPr>
        <w:t xml:space="preserve">4.1 Layer 1 — Multimodal Input Layer</w:t>
      </w:r>
    </w:p>
    <w:p>
      <w:pPr>
        <w:spacing w:after="80" w:before="80" w:line="300"/>
        <w:jc w:val="left"/>
      </w:pPr>
      <w:r>
        <w:rPr>
          <w:rFonts w:ascii="Arial" w:cs="Arial" w:eastAsia="Arial" w:hAnsi="Arial"/>
          <w:b w:val="false"/>
          <w:bCs w:val="false"/>
          <w:i w:val="false"/>
          <w:iCs w:val="false"/>
          <w:caps w:val="false"/>
          <w:color w:val="1E293B"/>
          <w:sz w:val="22"/>
          <w:szCs w:val="22"/>
        </w:rPr>
        <w:t xml:space="preserve">The Multimodal Input Layer establishes the principle that the IA accepts everything. No input type is refused at intake. This is a deliberate architectural choice: filtering at the input layer introduces assumptions about what the operator intended, which is the domain of the Intent Engine, not the Input Layer.</w:t>
      </w:r>
    </w:p>
    <w:p>
      <w:pPr>
        <w:pStyle w:val="Heading3"/>
        <w:spacing w:after="80" w:before="200"/>
      </w:pPr>
      <w:r>
        <w:rPr>
          <w:rFonts w:ascii="Arial" w:cs="Arial" w:eastAsia="Arial" w:hAnsi="Arial"/>
          <w:b/>
          <w:bCs/>
          <w:color w:val="334155"/>
          <w:sz w:val="22"/>
          <w:szCs w:val="22"/>
        </w:rPr>
        <w:t xml:space="preserve">4.1.1 Supported Input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tcPr>
          <w:p>
            <w:pPr>
              <w:jc w:val="left"/>
            </w:pPr>
            <w:r>
              <w:rPr>
                <w:rFonts w:ascii="Arial" w:cs="Arial" w:eastAsia="Arial" w:hAnsi="Arial"/>
                <w:b/>
                <w:bCs/>
                <w:i w:val="false"/>
                <w:iCs w:val="false"/>
                <w:caps/>
                <w:color w:val="FFFFFF"/>
                <w:sz w:val="19"/>
                <w:szCs w:val="19"/>
              </w:rPr>
              <w:t xml:space="preserve">Input Type</w:t>
            </w:r>
          </w:p>
        </w:tc>
        <w:tc>
          <w:tcPr>
            <w:tcW w:type="dxa" w:w="50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tcPr>
          <w:p>
            <w:pPr>
              <w:jc w:val="left"/>
            </w:pPr>
            <w:r>
              <w:rPr>
                <w:rFonts w:ascii="Arial" w:cs="Arial" w:eastAsia="Arial" w:hAnsi="Arial"/>
                <w:b/>
                <w:bCs/>
                <w:i w:val="false"/>
                <w:iCs w:val="false"/>
                <w:caps/>
                <w:color w:val="FFFFFF"/>
                <w:sz w:val="19"/>
                <w:szCs w:val="19"/>
              </w:rPr>
              <w:t xml:space="preserve">Implementation</w:t>
            </w:r>
          </w:p>
        </w:tc>
        <w:tc>
          <w:tcPr>
            <w:tcW w:type="dxa" w:w="236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tcPr>
          <w:p>
            <w:pPr>
              <w:jc w:val="left"/>
            </w:pPr>
            <w:r>
              <w:rPr>
                <w:rFonts w:ascii="Arial" w:cs="Arial" w:eastAsia="Arial" w:hAnsi="Arial"/>
                <w:b/>
                <w:bCs/>
                <w:i w:val="false"/>
                <w:iCs w:val="false"/>
                <w:caps/>
                <w:color w:val="FFFFFF"/>
                <w:sz w:val="19"/>
                <w:szCs w:val="19"/>
              </w:rPr>
              <w:t xml:space="preserve">AAC Tier</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Text</w:t>
            </w:r>
          </w:p>
        </w:tc>
        <w:tc>
          <w:tcPr>
            <w:tcW w:type="dxa" w:w="5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Direct string ingestion</w:t>
            </w:r>
          </w:p>
        </w:tc>
        <w:tc>
          <w:tcPr>
            <w:tcW w:type="dxa" w:w="2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Bronze+</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Voice</w:t>
            </w:r>
          </w:p>
        </w:tc>
        <w:tc>
          <w:tcPr>
            <w:tcW w:type="dxa" w:w="5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AudioRecord at 16kHz PCM, 500ms chunks, STT via Whisper on-device</w:t>
            </w:r>
          </w:p>
        </w:tc>
        <w:tc>
          <w:tcPr>
            <w:tcW w:type="dxa" w:w="2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Silver+</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Vision</w:t>
            </w:r>
          </w:p>
        </w:tc>
        <w:tc>
          <w:tcPr>
            <w:tcW w:type="dxa" w:w="5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Camera2 API frame capture, Bitmap ingestion</w:t>
            </w:r>
          </w:p>
        </w:tc>
        <w:tc>
          <w:tcPr>
            <w:tcW w:type="dxa" w:w="2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Silver+</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Document</w:t>
            </w:r>
          </w:p>
        </w:tc>
        <w:tc>
          <w:tcPr>
            <w:tcW w:type="dxa" w:w="5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ByteArray + MIME type, filename metadata</w:t>
            </w:r>
          </w:p>
        </w:tc>
        <w:tc>
          <w:tcPr>
            <w:tcW w:type="dxa" w:w="2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Silver+</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CAN Bus / OBD</w:t>
            </w:r>
          </w:p>
        </w:tc>
        <w:tc>
          <w:tcPr>
            <w:tcW w:type="dxa" w:w="5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List&lt;CanFrame&gt; ingestion from vehicle bus interface</w:t>
            </w:r>
          </w:p>
        </w:tc>
        <w:tc>
          <w:tcPr>
            <w:tcW w:type="dxa" w:w="2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Magnesium+</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GPS / ALE</w:t>
            </w:r>
          </w:p>
        </w:tc>
        <w:tc>
          <w:tcPr>
            <w:tcW w:type="dxa" w:w="5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Adaptive Location Engine integration, lat/lon/accuracy/mode</w:t>
            </w:r>
          </w:p>
        </w:tc>
        <w:tc>
          <w:tcPr>
            <w:tcW w:type="dxa" w:w="2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Silver+</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CAC/PIV Token</w:t>
            </w:r>
          </w:p>
        </w:tc>
        <w:tc>
          <w:tcPr>
            <w:tcW w:type="dxa" w:w="5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ByteArray + PivSlot enum, feeds auth gate in AAC Layer</w:t>
            </w:r>
          </w:p>
        </w:tc>
        <w:tc>
          <w:tcPr>
            <w:tcW w:type="dxa" w:w="2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Magnesium+</w:t>
            </w:r>
          </w:p>
        </w:tc>
      </w:tr>
    </w:tbl>
    <w:p>
      <w:pPr>
        <w:spacing w:after="0" w:before="80"/>
      </w:pPr>
      <w:r>
        <w:rPr>
          <w:rFonts w:ascii="Arial" w:cs="Arial" w:eastAsia="Arial" w:hAnsi="Arial"/>
          <w:b w:val="false"/>
          <w:bCs w:val="false"/>
          <w:i w:val="false"/>
          <w:iCs w:val="false"/>
          <w:caps w:val="false"/>
          <w:color w:val="1E293B"/>
          <w:sz w:val="10"/>
          <w:szCs w:val="10"/>
        </w:rPr>
        <w:t xml:space="preserve"/>
      </w:r>
    </w:p>
    <w:p>
      <w:pPr>
        <w:spacing w:after="80" w:before="80" w:line="300"/>
        <w:jc w:val="left"/>
      </w:pPr>
      <w:r>
        <w:rPr>
          <w:rFonts w:ascii="Arial" w:cs="Arial" w:eastAsia="Arial" w:hAnsi="Arial"/>
          <w:b w:val="false"/>
          <w:bCs w:val="false"/>
          <w:i w:val="false"/>
          <w:iCs w:val="false"/>
          <w:caps w:val="false"/>
          <w:color w:val="1E293B"/>
          <w:sz w:val="22"/>
          <w:szCs w:val="22"/>
        </w:rPr>
        <w:t xml:space="preserve">The Input Layer publishes a SharedFlow&lt;IAInput&gt; with a 64-event buffer and DROP_OLDEST overflow policy. This ensures the pipeline remains non-blocking under high-frequency sensor input from the CAN bus.</w:t>
      </w:r>
    </w:p>
    <w:p>
      <w:pPr>
        <w:pStyle w:val="Heading2"/>
        <w:spacing w:after="120" w:before="280"/>
      </w:pPr>
      <w:r>
        <w:rPr>
          <w:rFonts w:ascii="Arial" w:cs="Arial" w:eastAsia="Arial" w:hAnsi="Arial"/>
          <w:b/>
          <w:bCs/>
          <w:color w:val="1E293B"/>
          <w:sz w:val="26"/>
          <w:szCs w:val="26"/>
        </w:rPr>
        <w:t xml:space="preserve">4.2 Layer 2 — Intent and Context Engine</w:t>
      </w:r>
    </w:p>
    <w:p>
      <w:pPr>
        <w:spacing w:after="80" w:before="80" w:line="300"/>
        <w:jc w:val="left"/>
      </w:pPr>
      <w:r>
        <w:rPr>
          <w:rFonts w:ascii="Arial" w:cs="Arial" w:eastAsia="Arial" w:hAnsi="Arial"/>
          <w:b w:val="false"/>
          <w:bCs w:val="false"/>
          <w:i w:val="false"/>
          <w:iCs w:val="false"/>
          <w:caps w:val="false"/>
          <w:color w:val="1E293B"/>
          <w:sz w:val="22"/>
          <w:szCs w:val="22"/>
        </w:rPr>
        <w:t xml:space="preserve">The Intent Engine is the IA's primary disambiguation system. It answers the question the operator did not explicitly ask: what domain does this request belong to, how urgent is it, and what context is required to answer it well?</w:t>
      </w:r>
    </w:p>
    <w:p>
      <w:pPr>
        <w:pStyle w:val="Heading3"/>
        <w:spacing w:after="80" w:before="200"/>
      </w:pPr>
      <w:r>
        <w:rPr>
          <w:rFonts w:ascii="Arial" w:cs="Arial" w:eastAsia="Arial" w:hAnsi="Arial"/>
          <w:b/>
          <w:bCs/>
          <w:color w:val="334155"/>
          <w:sz w:val="22"/>
          <w:szCs w:val="22"/>
        </w:rPr>
        <w:t xml:space="preserve">4.2.1 Domain Classification</w:t>
      </w:r>
    </w:p>
    <w:p>
      <w:pPr>
        <w:spacing w:after="80" w:before="80" w:line="300"/>
        <w:jc w:val="left"/>
      </w:pPr>
      <w:r>
        <w:rPr>
          <w:rFonts w:ascii="Arial" w:cs="Arial" w:eastAsia="Arial" w:hAnsi="Arial"/>
          <w:b w:val="false"/>
          <w:bCs w:val="false"/>
          <w:i w:val="false"/>
          <w:iCs w:val="false"/>
          <w:caps w:val="false"/>
          <w:color w:val="1E293B"/>
          <w:sz w:val="22"/>
          <w:szCs w:val="22"/>
        </w:rPr>
        <w:t xml:space="preserve">In the current v0.1 skeleton, domain classification is implemented as a keyword-scoring rule engine across nine domains: NAVIGATION, VEHICLE_CONTROL, COMMUNICATION, INFORMATION_QUERY, SYSTEM_COMMAND, DOCUMENT_ANALYSIS, VISION_QUERY, AUTHENTICATION, and EMERGENCY.</w:t>
      </w:r>
    </w:p>
    <w:p>
      <w:pPr>
        <w:spacing w:after="80" w:before="80" w:line="300"/>
        <w:jc w:val="left"/>
      </w:pPr>
      <w:r>
        <w:rPr>
          <w:rFonts w:ascii="Arial" w:cs="Arial" w:eastAsia="Arial" w:hAnsi="Arial"/>
          <w:b w:val="false"/>
          <w:bCs w:val="false"/>
          <w:i w:val="false"/>
          <w:iCs w:val="false"/>
          <w:caps w:val="false"/>
          <w:color w:val="1E293B"/>
          <w:sz w:val="22"/>
          <w:szCs w:val="22"/>
        </w:rPr>
        <w:t xml:space="preserve">The production implementation replaces the rule engine with a quantized MobileBERT model running via TFLite Interpreter. The intent is deterministic classification at 120–200ms on-device latency, with no cloud dependency for this layer.</w:t>
      </w:r>
    </w:p>
    <w:p>
      <w:pPr>
        <w:pStyle w:val="Heading3"/>
        <w:spacing w:after="80" w:before="200"/>
      </w:pPr>
      <w:r>
        <w:rPr>
          <w:rFonts w:ascii="Arial" w:cs="Arial" w:eastAsia="Arial" w:hAnsi="Arial"/>
          <w:b/>
          <w:bCs/>
          <w:color w:val="334155"/>
          <w:sz w:val="22"/>
          <w:szCs w:val="22"/>
        </w:rPr>
        <w:t xml:space="preserve">4.2.2 Session State</w:t>
      </w:r>
    </w:p>
    <w:p>
      <w:pPr>
        <w:spacing w:after="80" w:before="80" w:line="300"/>
        <w:jc w:val="left"/>
      </w:pPr>
      <w:r>
        <w:rPr>
          <w:rFonts w:ascii="Arial" w:cs="Arial" w:eastAsia="Arial" w:hAnsi="Arial"/>
          <w:b w:val="false"/>
          <w:bCs w:val="false"/>
          <w:i w:val="false"/>
          <w:iCs w:val="false"/>
          <w:caps w:val="false"/>
          <w:color w:val="1E293B"/>
          <w:sz w:val="22"/>
          <w:szCs w:val="22"/>
        </w:rPr>
        <w:t xml:space="preserve">The Intent Engine maintains a persistent SessionContext across queries. This context carries the last 10 conversation history entries, the set of active input types in the current request, and a VehicleState snapshot. The session context is included in every ConstructedPrompt sent to cloud models, enabling coherent multi-turn conversations without re-explaining vehicle state on each query.</w:t>
      </w:r>
    </w:p>
    <w:p>
      <w:pPr>
        <w:pStyle w:val="Heading2"/>
        <w:spacing w:after="120" w:before="280"/>
      </w:pPr>
      <w:r>
        <w:rPr>
          <w:rFonts w:ascii="Arial" w:cs="Arial" w:eastAsia="Arial" w:hAnsi="Arial"/>
          <w:b/>
          <w:bCs/>
          <w:color w:val="1E293B"/>
          <w:sz w:val="26"/>
          <w:szCs w:val="26"/>
        </w:rPr>
        <w:t xml:space="preserve">4.3 Layer 3 — Prompt Architect</w:t>
      </w:r>
    </w:p>
    <w:p>
      <w:pPr>
        <w:spacing w:after="80" w:before="80" w:line="300"/>
        <w:jc w:val="left"/>
      </w:pPr>
      <w:r>
        <w:rPr>
          <w:rFonts w:ascii="Arial" w:cs="Arial" w:eastAsia="Arial" w:hAnsi="Arial"/>
          <w:b w:val="false"/>
          <w:bCs w:val="false"/>
          <w:i w:val="false"/>
          <w:iCs w:val="false"/>
          <w:caps w:val="false"/>
          <w:color w:val="1E293B"/>
          <w:sz w:val="22"/>
          <w:szCs w:val="22"/>
        </w:rPr>
        <w:t xml:space="preserve">The Prompt Architect is responsible for the observation that different models require fundamentally different prompt structures. A prompt optimized for Claude's API will perform poorly when adapted verbatim for a TFLite text classification model. The Prompt Architect maintains separate template engines per model family:</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Claude API: Full system prompt with vehicle context, conversation history, domain tagging, entity block, and operator query. Temperature calibrated per domain (0.1 for navigation/vehicle control, 0.4 for information queries).</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TFLite On-Device: Compact tagged string format — [DOMAIN:X] [PRIORITY:Y] {raw_text}. Hard-capped at 500 characters. No system prompt; deterministic temperature (0.0).</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Vision Model: Frame dimensions, vehicle speed context, and operator query or default scene description instruction.</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Code Model: Task description, file list if documents provided, Android/Kotlin constraint injection.</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Speech Model: Chunk count, sample rate metadata. Audio bytes are passed out-of-band.</w:t>
      </w:r>
    </w:p>
    <w:p>
      <w:pPr>
        <w:spacing w:after="0" w:before="80"/>
      </w:pPr>
      <w:r>
        <w:rPr>
          <w:rFonts w:ascii="Arial" w:cs="Arial" w:eastAsia="Arial" w:hAnsi="Arial"/>
          <w:b w:val="false"/>
          <w:bCs w:val="false"/>
          <w:i w:val="false"/>
          <w:iCs w:val="false"/>
          <w:caps w:val="false"/>
          <w:color w:val="1E293B"/>
          <w:sz w:val="10"/>
          <w:szCs w:val="10"/>
        </w:rPr>
        <w:t xml:space="preserve"/>
      </w:r>
    </w:p>
    <w:p>
      <w:pPr>
        <w:spacing w:after="80" w:before="80" w:line="300"/>
        <w:jc w:val="left"/>
      </w:pPr>
      <w:r>
        <w:rPr>
          <w:rFonts w:ascii="Arial" w:cs="Arial" w:eastAsia="Arial" w:hAnsi="Arial"/>
          <w:b w:val="false"/>
          <w:bCs w:val="false"/>
          <w:i w:val="false"/>
          <w:iCs w:val="false"/>
          <w:caps w:val="false"/>
          <w:color w:val="1E293B"/>
          <w:sz w:val="22"/>
          <w:szCs w:val="22"/>
        </w:rPr>
        <w:t xml:space="preserve">Token budgeting is applied at construction time. Each model family has a defined maximum token allocation, and the Prompt Architect estimates consumption prior to dispatch to prevent runtime token overflows in the Orchestrator.</w:t>
      </w:r>
    </w:p>
    <w:p>
      <w:pPr>
        <w:pStyle w:val="Heading2"/>
        <w:spacing w:after="120" w:before="280"/>
      </w:pPr>
      <w:r>
        <w:rPr>
          <w:rFonts w:ascii="Arial" w:cs="Arial" w:eastAsia="Arial" w:hAnsi="Arial"/>
          <w:b/>
          <w:bCs/>
          <w:color w:val="1E293B"/>
          <w:sz w:val="26"/>
          <w:szCs w:val="26"/>
        </w:rPr>
        <w:t xml:space="preserve">4.4 Layer 4 — Model Orchestrator</w:t>
      </w:r>
    </w:p>
    <w:p>
      <w:pPr>
        <w:spacing w:after="80" w:before="80" w:line="300"/>
        <w:jc w:val="left"/>
      </w:pPr>
      <w:r>
        <w:rPr>
          <w:rFonts w:ascii="Arial" w:cs="Arial" w:eastAsia="Arial" w:hAnsi="Arial"/>
          <w:b w:val="false"/>
          <w:bCs w:val="false"/>
          <w:i w:val="false"/>
          <w:iCs w:val="false"/>
          <w:caps w:val="false"/>
          <w:color w:val="1E293B"/>
          <w:sz w:val="22"/>
          <w:szCs w:val="22"/>
        </w:rPr>
        <w:t xml:space="preserve">The Model Orchestrator is the IA's routing intelligence. It answers not only which model to use, but how to use it — sequentially, in parallel, or in a guaranteed fallback sequence.</w:t>
      </w:r>
    </w:p>
    <w:p>
      <w:pPr>
        <w:spacing w:after="80" w:before="80" w:line="300"/>
        <w:jc w:val="left"/>
      </w:pPr>
      <w:r>
        <w:rPr>
          <w:rFonts w:ascii="Arial" w:cs="Arial" w:eastAsia="Arial" w:hAnsi="Arial"/>
          <w:b w:val="false"/>
          <w:bCs w:val="false"/>
          <w:i w:val="false"/>
          <w:iCs w:val="false"/>
          <w:caps w:val="false"/>
          <w:color w:val="1E293B"/>
          <w:sz w:val="22"/>
          <w:szCs w:val="22"/>
        </w:rPr>
        <w:t xml:space="preserve">Strategy selection is based on two signals: the classified intent domain and the intent confidence score. High-confidence, time-sensitive intents use SINGLE_MODEL for minimum latency. Ambiguous intents use PARALLEL_CONSENSUS for maximum accuracy. CRITICAL priority intents always use FALLBACK_CHAIN to guarantee a response regardless of cloud availability.</w:t>
      </w:r>
    </w:p>
    <w:p>
      <w:pPr>
        <w:spacing w:after="80" w:before="80" w:line="300"/>
        <w:jc w:val="left"/>
      </w:pPr>
      <w:r>
        <w:rPr>
          <w:rFonts w:ascii="Arial" w:cs="Arial" w:eastAsia="Arial" w:hAnsi="Arial"/>
          <w:b w:val="false"/>
          <w:bCs w:val="false"/>
          <w:i w:val="false"/>
          <w:iCs w:val="false"/>
          <w:caps w:val="false"/>
          <w:color w:val="1E293B"/>
          <w:sz w:val="22"/>
          <w:szCs w:val="22"/>
        </w:rPr>
        <w:t xml:space="preserve">The Orchestrator enforces strict per-model timeout policies: 8,000ms for cloud models, 2,000ms for on-device runners. Timeout violations are logged to the audit trail and trigger the fallback chain.</w:t>
      </w:r>
    </w:p>
    <w:p>
      <w:pPr>
        <w:pStyle w:val="Heading2"/>
        <w:spacing w:after="120" w:before="280"/>
      </w:pPr>
      <w:r>
        <w:rPr>
          <w:rFonts w:ascii="Arial" w:cs="Arial" w:eastAsia="Arial" w:hAnsi="Arial"/>
          <w:b/>
          <w:bCs/>
          <w:color w:val="1E293B"/>
          <w:sz w:val="26"/>
          <w:szCs w:val="26"/>
        </w:rPr>
        <w:t xml:space="preserve">4.5 Layer 5 — Output Evaluator</w:t>
      </w:r>
    </w:p>
    <w:p>
      <w:pPr>
        <w:spacing w:after="80" w:before="80" w:line="300"/>
        <w:jc w:val="left"/>
      </w:pPr>
      <w:r>
        <w:rPr>
          <w:rFonts w:ascii="Arial" w:cs="Arial" w:eastAsia="Arial" w:hAnsi="Arial"/>
          <w:b w:val="false"/>
          <w:bCs w:val="false"/>
          <w:i w:val="false"/>
          <w:iCs w:val="false"/>
          <w:caps w:val="false"/>
          <w:color w:val="1E293B"/>
          <w:sz w:val="22"/>
          <w:szCs w:val="22"/>
        </w:rPr>
        <w:t xml:space="preserve">The Output Evaluator applies three independent scoring dimensions to every model response before it reaches the operator:</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Confidence Score: Weighted blend of the model's self-reported score, word count, hedge phrase detection, and intent confidence. Range 0.0–1.0.</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Domain Relevance Score: Keyword coverage score against a per-domain vocabulary. Ensures the response is actually about what was asked.</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Hallucination Flag: Pattern-based detection of fabricated specificity. Flags navigation turn-by-turn without real destination data, and specific sensor readings without a CAN Bus input present in the session.</w:t>
      </w:r>
    </w:p>
    <w:p>
      <w:pPr>
        <w:spacing w:after="0" w:before="80"/>
      </w:pPr>
      <w:r>
        <w:rPr>
          <w:rFonts w:ascii="Arial" w:cs="Arial" w:eastAsia="Arial" w:hAnsi="Arial"/>
          <w:b w:val="false"/>
          <w:bCs w:val="false"/>
          <w:i w:val="false"/>
          <w:iCs w:val="false"/>
          <w:caps w:val="false"/>
          <w:color w:val="1E293B"/>
          <w:sz w:val="10"/>
          <w:szCs w:val="10"/>
        </w:rPr>
        <w:t xml:space="preserve"/>
      </w:r>
    </w:p>
    <w:p>
      <w:pPr>
        <w:spacing w:after="80" w:before="80" w:line="300"/>
        <w:jc w:val="left"/>
      </w:pPr>
      <w:r>
        <w:rPr>
          <w:rFonts w:ascii="Arial" w:cs="Arial" w:eastAsia="Arial" w:hAnsi="Arial"/>
          <w:b w:val="false"/>
          <w:bCs w:val="false"/>
          <w:i w:val="false"/>
          <w:iCs w:val="false"/>
          <w:caps w:val="false"/>
          <w:color w:val="1E293B"/>
          <w:sz w:val="22"/>
          <w:szCs w:val="22"/>
        </w:rPr>
        <w:t xml:space="preserve">For multi-model consensus results, the Evaluator also applies contradiction detection. Contradictions are scored as NONE, MINOR, or MAJOR based on the distribution of affirmative and negative signals across all model responses. MAJOR contradictions trigger a flag in the final EvaluatedResponse that propagates to the operator UI.</w:t>
      </w:r>
    </w:p>
    <w:p>
      <w:pPr>
        <w:pStyle w:val="Heading2"/>
        <w:spacing w:after="120" w:before="280"/>
      </w:pPr>
      <w:r>
        <w:rPr>
          <w:rFonts w:ascii="Arial" w:cs="Arial" w:eastAsia="Arial" w:hAnsi="Arial"/>
          <w:b/>
          <w:bCs/>
          <w:color w:val="1E293B"/>
          <w:sz w:val="26"/>
          <w:szCs w:val="26"/>
        </w:rPr>
        <w:t xml:space="preserve">4.6 Layer 6 — AAC Integration Layer</w:t>
      </w:r>
    </w:p>
    <w:p>
      <w:pPr>
        <w:spacing w:after="80" w:before="80" w:line="300"/>
        <w:jc w:val="left"/>
      </w:pPr>
      <w:r>
        <w:rPr>
          <w:rFonts w:ascii="Arial" w:cs="Arial" w:eastAsia="Arial" w:hAnsi="Arial"/>
          <w:b w:val="false"/>
          <w:bCs w:val="false"/>
          <w:i w:val="false"/>
          <w:iCs w:val="false"/>
          <w:caps w:val="false"/>
          <w:color w:val="1E293B"/>
          <w:sz w:val="22"/>
          <w:szCs w:val="22"/>
        </w:rPr>
        <w:t xml:space="preserve">The AAC Integration Layer is the IA's interface to the Android system. It translates EvaluatedResponse objects into Android Intents and dispatches them to registered receivers across the AAC platform.</w:t>
      </w:r>
    </w:p>
    <w:p>
      <w:pPr>
        <w:spacing w:after="80" w:before="80" w:line="300"/>
        <w:jc w:val="left"/>
      </w:pPr>
      <w:r>
        <w:rPr>
          <w:rFonts w:ascii="Arial" w:cs="Arial" w:eastAsia="Arial" w:hAnsi="Arial"/>
          <w:b w:val="false"/>
          <w:bCs w:val="false"/>
          <w:i w:val="false"/>
          <w:iCs w:val="false"/>
          <w:caps w:val="false"/>
          <w:color w:val="1E293B"/>
          <w:sz w:val="22"/>
          <w:szCs w:val="22"/>
        </w:rPr>
        <w:t xml:space="preserve">The layer enforces two hard security gates before any Intent is dispatched:</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CAC/PIV Authentication Gate: Intents from domains marked requiresAuth must have a valid CacTokenInput present in the session context. Unauthorized dispatch attempts are blocked and logged.</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RT-PREEMPT Priority Setting: The thread scheduling priority is set via a JNI stub (production: pthread_setschedparam with SCHED_FIFO) to the level appropriate for the intent priority. CRITICAL intents escalate to priority 80. This ensures the IA pipeline never preempts the vehicle control system's real-time threads.</w:t>
      </w:r>
    </w:p>
    <w:p>
      <w:pPr>
        <w:spacing w:after="0" w:before="80"/>
      </w:pPr>
      <w:r>
        <w:rPr>
          <w:rFonts w:ascii="Arial" w:cs="Arial" w:eastAsia="Arial" w:hAnsi="Arial"/>
          <w:b w:val="false"/>
          <w:bCs w:val="false"/>
          <w:i w:val="false"/>
          <w:iCs w:val="false"/>
          <w:caps w:val="false"/>
          <w:color w:val="1E293B"/>
          <w:sz w:val="10"/>
          <w:szCs w:val="10"/>
        </w:rPr>
        <w:t xml:space="preserve"/>
      </w:r>
    </w:p>
    <w:p>
      <w:pPr>
        <w:spacing w:after="80" w:before="80" w:line="300"/>
        <w:jc w:val="left"/>
      </w:pPr>
      <w:r>
        <w:rPr>
          <w:rFonts w:ascii="Arial" w:cs="Arial" w:eastAsia="Arial" w:hAnsi="Arial"/>
          <w:b w:val="false"/>
          <w:bCs w:val="false"/>
          <w:i w:val="false"/>
          <w:iCs w:val="false"/>
          <w:caps w:val="false"/>
          <w:color w:val="1E293B"/>
          <w:sz w:val="22"/>
          <w:szCs w:val="22"/>
        </w:rPr>
        <w:t xml:space="preserve">Every pipeline execution produces an AuditEntry containing the audit ID, timestamp, input types present, intent domain, models used, confidence score, and the Android Intent action dispatched. Audit entries are written to a local append-only log file at the application's files directory.</w:t>
      </w:r>
    </w:p>
    <w:p>
      <w:pPr>
        <w:spacing w:after="0" w:before="0"/>
      </w:pPr>
      <w:r>
        <w:br w:type="page"/>
      </w:r>
    </w:p>
    <w:p>
      <w:pPr>
        <w:pStyle w:val="Heading1"/>
        <w:pBdr>
          <w:bottom w:val="single" w:color="00C4A0" w:sz="8" w:space="4"/>
        </w:pBdr>
        <w:spacing w:after="180" w:before="360"/>
      </w:pPr>
      <w:r>
        <w:rPr>
          <w:rFonts w:ascii="Arial" w:cs="Arial" w:eastAsia="Arial" w:hAnsi="Arial"/>
          <w:b/>
          <w:bCs/>
          <w:sz w:val="32"/>
          <w:szCs w:val="32"/>
        </w:rPr>
        <w:t xml:space="preserve">5. Orchestration Strategies</w:t>
      </w:r>
    </w:p>
    <w:p>
      <w:pPr>
        <w:spacing w:after="80" w:before="80" w:line="300"/>
        <w:jc w:val="left"/>
      </w:pPr>
      <w:r>
        <w:rPr>
          <w:rFonts w:ascii="Arial" w:cs="Arial" w:eastAsia="Arial" w:hAnsi="Arial"/>
          <w:b w:val="false"/>
          <w:bCs w:val="false"/>
          <w:i w:val="false"/>
          <w:iCs w:val="false"/>
          <w:caps w:val="false"/>
          <w:color w:val="1E293B"/>
          <w:sz w:val="22"/>
          <w:szCs w:val="22"/>
        </w:rPr>
        <w:t xml:space="preserve">The Model Orchestrator implements four strategies. Strategy selection is automatic and deterministic based on intent classification outputs.</w:t>
      </w:r>
    </w:p>
    <w:p>
      <w:pPr>
        <w:spacing w:after="0" w:before="80"/>
      </w:pPr>
      <w:r>
        <w:rPr>
          <w:rFonts w:ascii="Arial" w:cs="Arial" w:eastAsia="Arial" w:hAnsi="Arial"/>
          <w:b w:val="false"/>
          <w:bCs w:val="false"/>
          <w:i w:val="false"/>
          <w:iCs w:val="false"/>
          <w:caps w:val="false"/>
          <w:color w:val="1E293B"/>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860"/>
        <w:gridCol w:w="1800"/>
      </w:tblGrid>
      <w:tr>
        <w:trPr>
          <w:tblHeader/>
        </w:trPr>
        <w:tc>
          <w:tcPr>
            <w:tcW w:type="dxa" w:w="22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tcPr>
          <w:p>
            <w:pPr>
              <w:jc w:val="left"/>
            </w:pPr>
            <w:r>
              <w:rPr>
                <w:rFonts w:ascii="Arial" w:cs="Arial" w:eastAsia="Arial" w:hAnsi="Arial"/>
                <w:b/>
                <w:bCs/>
                <w:i w:val="false"/>
                <w:iCs w:val="false"/>
                <w:caps/>
                <w:color w:val="FFFFFF"/>
                <w:sz w:val="19"/>
                <w:szCs w:val="19"/>
              </w:rPr>
              <w:t xml:space="preserve">Strategy</w:t>
            </w:r>
          </w:p>
        </w:tc>
        <w:tc>
          <w:tcPr>
            <w:tcW w:type="dxa" w:w="25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tcPr>
          <w:p>
            <w:pPr>
              <w:jc w:val="left"/>
            </w:pPr>
            <w:r>
              <w:rPr>
                <w:rFonts w:ascii="Arial" w:cs="Arial" w:eastAsia="Arial" w:hAnsi="Arial"/>
                <w:b/>
                <w:bCs/>
                <w:i w:val="false"/>
                <w:iCs w:val="false"/>
                <w:caps/>
                <w:color w:val="FFFFFF"/>
                <w:sz w:val="19"/>
                <w:szCs w:val="19"/>
              </w:rPr>
              <w:t xml:space="preserve">When Selected</w:t>
            </w:r>
          </w:p>
        </w:tc>
        <w:tc>
          <w:tcPr>
            <w:tcW w:type="dxa" w:w="286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tcPr>
          <w:p>
            <w:pPr>
              <w:jc w:val="left"/>
            </w:pPr>
            <w:r>
              <w:rPr>
                <w:rFonts w:ascii="Arial" w:cs="Arial" w:eastAsia="Arial" w:hAnsi="Arial"/>
                <w:b/>
                <w:bCs/>
                <w:i w:val="false"/>
                <w:iCs w:val="false"/>
                <w:caps/>
                <w:color w:val="FFFFFF"/>
                <w:sz w:val="19"/>
                <w:szCs w:val="19"/>
              </w:rPr>
              <w:t xml:space="preserve">Model Behavior</w:t>
            </w:r>
          </w:p>
        </w:tc>
        <w:tc>
          <w:tcPr>
            <w:tcW w:type="dxa" w:w="18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tcPr>
          <w:p>
            <w:pPr>
              <w:jc w:val="left"/>
            </w:pPr>
            <w:r>
              <w:rPr>
                <w:rFonts w:ascii="Arial" w:cs="Arial" w:eastAsia="Arial" w:hAnsi="Arial"/>
                <w:b/>
                <w:bCs/>
                <w:i w:val="false"/>
                <w:iCs w:val="false"/>
                <w:caps/>
                <w:color w:val="FFFFFF"/>
                <w:sz w:val="19"/>
                <w:szCs w:val="19"/>
              </w:rPr>
              <w:t xml:space="preserve">Latency Profile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SINGLE_MODEL</w:t>
            </w:r>
          </w:p>
        </w:tc>
        <w:tc>
          <w:tcPr>
            <w:tcW w:type="dxa" w:w="2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High confidence, clear domain</w:t>
            </w:r>
          </w:p>
        </w:tc>
        <w:tc>
          <w:tcPr>
            <w:tcW w:type="dxa" w:w="28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One best-fit model receives prompt and responds</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Minimum — single model RTT</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PARALLEL_RACE</w:t>
            </w:r>
          </w:p>
        </w:tc>
        <w:tc>
          <w:tcPr>
            <w:tcW w:type="dxa" w:w="25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High confidence, time-sensitive query</w:t>
            </w:r>
          </w:p>
        </w:tc>
        <w:tc>
          <w:tcPr>
            <w:tcW w:type="dxa" w:w="28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All eligible models dispatched concurrently; first successful response wins, others cancelled</w:t>
            </w:r>
          </w:p>
        </w:tc>
        <w:tc>
          <w:tcPr>
            <w:tcW w:type="dxa" w:w="1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First-response latency</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PARALLEL_CONSENSUS</w:t>
            </w:r>
          </w:p>
        </w:tc>
        <w:tc>
          <w:tcPr>
            <w:tcW w:type="dxa" w:w="2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Low confidence, ambiguous intent</w:t>
            </w:r>
          </w:p>
        </w:tc>
        <w:tc>
          <w:tcPr>
            <w:tcW w:type="dxa" w:w="28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All eligible models dispatched; all responses collected and synthesized by Evaluator</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Slowest model RTT</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FALLBACK_CHAIN</w:t>
            </w:r>
          </w:p>
        </w:tc>
        <w:tc>
          <w:tcPr>
            <w:tcW w:type="dxa" w:w="25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CRITICAL priority or emergency domain</w:t>
            </w:r>
          </w:p>
        </w:tc>
        <w:tc>
          <w:tcPr>
            <w:tcW w:type="dxa" w:w="28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On-device first (&lt; 2s), then cloud (&lt; 8s), then static string. Guaranteed response.</w:t>
            </w:r>
          </w:p>
        </w:tc>
        <w:tc>
          <w:tcPr>
            <w:tcW w:type="dxa" w:w="1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2s guaranteed maximum</w:t>
            </w:r>
          </w:p>
        </w:tc>
      </w:tr>
    </w:tbl>
    <w:p>
      <w:pPr>
        <w:spacing w:after="0" w:before="80"/>
      </w:pPr>
      <w:r>
        <w:rPr>
          <w:rFonts w:ascii="Arial" w:cs="Arial" w:eastAsia="Arial" w:hAnsi="Arial"/>
          <w:b w:val="false"/>
          <w:bCs w:val="false"/>
          <w:i w:val="false"/>
          <w:iCs w:val="false"/>
          <w:caps w:val="false"/>
          <w:color w:val="1E293B"/>
          <w:sz w:val="10"/>
          <w:szCs w:val="10"/>
        </w:rPr>
        <w:t xml:space="preserve"/>
      </w:r>
    </w:p>
    <w:p>
      <w:pPr>
        <w:spacing w:after="80" w:before="80" w:line="300"/>
        <w:jc w:val="left"/>
      </w:pPr>
      <w:r>
        <w:rPr>
          <w:rFonts w:ascii="Arial" w:cs="Arial" w:eastAsia="Arial" w:hAnsi="Arial"/>
          <w:b w:val="false"/>
          <w:bCs w:val="false"/>
          <w:i w:val="false"/>
          <w:iCs w:val="false"/>
          <w:caps w:val="false"/>
          <w:color w:val="1E293B"/>
          <w:sz w:val="22"/>
          <w:szCs w:val="22"/>
        </w:rPr>
        <w:t xml:space="preserve">The FALLBACK_CHAIN strategy is the safety baseline of the IA. In any scenario where cloud connectivity is unavailable or degraded, the chain guarantees that the operator receives a response within 2 seconds from an on-device model. This property is non-negotiable for commercial vehicle deployments where radio shadow zones, tunnel transit, and adversarial jamming are all realistic operational conditions.</w:t>
      </w:r>
    </w:p>
    <w:p>
      <w:pPr>
        <w:spacing w:after="0" w:before="0"/>
      </w:pPr>
      <w:r>
        <w:br w:type="page"/>
      </w:r>
    </w:p>
    <w:p>
      <w:pPr>
        <w:pStyle w:val="Heading1"/>
        <w:pBdr>
          <w:bottom w:val="single" w:color="00C4A0" w:sz="8" w:space="4"/>
        </w:pBdr>
        <w:spacing w:after="180" w:before="360"/>
      </w:pPr>
      <w:r>
        <w:rPr>
          <w:rFonts w:ascii="Arial" w:cs="Arial" w:eastAsia="Arial" w:hAnsi="Arial"/>
          <w:b/>
          <w:bCs/>
          <w:sz w:val="32"/>
          <w:szCs w:val="32"/>
        </w:rPr>
        <w:t xml:space="preserve">6. Security Architecture</w:t>
      </w:r>
    </w:p>
    <w:p>
      <w:pPr>
        <w:pStyle w:val="Heading2"/>
        <w:spacing w:after="120" w:before="280"/>
      </w:pPr>
      <w:r>
        <w:rPr>
          <w:rFonts w:ascii="Arial" w:cs="Arial" w:eastAsia="Arial" w:hAnsi="Arial"/>
          <w:b/>
          <w:bCs/>
          <w:color w:val="1E293B"/>
          <w:sz w:val="26"/>
          <w:szCs w:val="26"/>
        </w:rPr>
        <w:t xml:space="preserve">6.1 CAC/PIV Authentication</w:t>
      </w:r>
    </w:p>
    <w:p>
      <w:pPr>
        <w:spacing w:after="80" w:before="80" w:line="300"/>
        <w:jc w:val="left"/>
      </w:pPr>
      <w:r>
        <w:rPr>
          <w:rFonts w:ascii="Arial" w:cs="Arial" w:eastAsia="Arial" w:hAnsi="Arial"/>
          <w:b w:val="false"/>
          <w:bCs w:val="false"/>
          <w:i w:val="false"/>
          <w:iCs w:val="false"/>
          <w:caps w:val="false"/>
          <w:color w:val="1E293B"/>
          <w:sz w:val="22"/>
          <w:szCs w:val="22"/>
        </w:rPr>
        <w:t xml:space="preserve">The IA integrates with Common Access Card (CAC) and Personal Identity Verification (PIV) credentials for authentication of privileged operations. This is implemented as a two-stage gate: the presence of a CacTokenInput in the session is required for domains flagged requiresAuth, and a certificate chain validation (production implementation via YubiKit Android SDK and Android Keystore) confirms the token's validity.</w:t>
      </w:r>
    </w:p>
    <w:p>
      <w:pPr>
        <w:spacing w:after="80" w:before="80" w:line="300"/>
        <w:jc w:val="left"/>
      </w:pPr>
      <w:r>
        <w:rPr>
          <w:rFonts w:ascii="Arial" w:cs="Arial" w:eastAsia="Arial" w:hAnsi="Arial"/>
          <w:b w:val="false"/>
          <w:bCs w:val="false"/>
          <w:i w:val="false"/>
          <w:iCs w:val="false"/>
          <w:caps w:val="false"/>
          <w:color w:val="1E293B"/>
          <w:sz w:val="22"/>
          <w:szCs w:val="22"/>
        </w:rPr>
        <w:t xml:space="preserve">The four supported PIV slots align with Federal FIPS 201-3 specifications:</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PIV Authentication (9A): Primary identity verification for operator authentication</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Card Authentication (9E): Card-only authentication without PIN for physical access scenarios</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Signature (9C): Non-repudiation for command authorization in high-assurance scenarios</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Key Management (9D): Key derivation for session-level encrypted command channels</w:t>
      </w:r>
    </w:p>
    <w:p>
      <w:pPr>
        <w:spacing w:after="0" w:before="80"/>
      </w:pPr>
      <w:r>
        <w:rPr>
          <w:rFonts w:ascii="Arial" w:cs="Arial" w:eastAsia="Arial" w:hAnsi="Arial"/>
          <w:b w:val="false"/>
          <w:bCs w:val="false"/>
          <w:i w:val="false"/>
          <w:iCs w:val="false"/>
          <w:caps w:val="false"/>
          <w:color w:val="1E293B"/>
          <w:sz w:val="10"/>
          <w:szCs w:val="10"/>
        </w:rPr>
        <w:t xml:space="preserve"/>
      </w:r>
    </w:p>
    <w:p>
      <w:pPr>
        <w:pStyle w:val="Heading2"/>
        <w:spacing w:after="120" w:before="280"/>
      </w:pPr>
      <w:r>
        <w:rPr>
          <w:rFonts w:ascii="Arial" w:cs="Arial" w:eastAsia="Arial" w:hAnsi="Arial"/>
          <w:b/>
          <w:bCs/>
          <w:color w:val="1E293B"/>
          <w:sz w:val="26"/>
          <w:szCs w:val="26"/>
        </w:rPr>
        <w:t xml:space="preserve">6.2 Audit Trail</w:t>
      </w:r>
    </w:p>
    <w:p>
      <w:pPr>
        <w:spacing w:after="80" w:before="80" w:line="300"/>
        <w:jc w:val="left"/>
      </w:pPr>
      <w:r>
        <w:rPr>
          <w:rFonts w:ascii="Arial" w:cs="Arial" w:eastAsia="Arial" w:hAnsi="Arial"/>
          <w:b w:val="false"/>
          <w:bCs w:val="false"/>
          <w:i w:val="false"/>
          <w:iCs w:val="false"/>
          <w:caps w:val="false"/>
          <w:color w:val="1E293B"/>
          <w:sz w:val="22"/>
          <w:szCs w:val="22"/>
        </w:rPr>
        <w:t xml:space="preserve">Every pipeline execution produces a tamper-evident audit entry written to an append-only local log. The audit trail captures sufficient information to reconstruct the full context of any operator interaction: what was received, how it was classified, which models were used, what confidence was assigned, and what command was dispatched.</w:t>
      </w:r>
    </w:p>
    <w:p>
      <w:pPr>
        <w:spacing w:after="80" w:before="80" w:line="300"/>
        <w:jc w:val="left"/>
      </w:pPr>
      <w:r>
        <w:rPr>
          <w:rFonts w:ascii="Arial" w:cs="Arial" w:eastAsia="Arial" w:hAnsi="Arial"/>
          <w:b w:val="false"/>
          <w:bCs w:val="false"/>
          <w:i w:val="false"/>
          <w:iCs w:val="false"/>
          <w:caps w:val="false"/>
          <w:color w:val="1E293B"/>
          <w:sz w:val="22"/>
          <w:szCs w:val="22"/>
        </w:rPr>
        <w:t xml:space="preserve">The audit trail is designed to support post-incident review, regulatory compliance in defense and rail contexts, and operational analytics for tier-level capability assessment.</w:t>
      </w:r>
    </w:p>
    <w:p>
      <w:pPr>
        <w:pStyle w:val="Heading2"/>
        <w:spacing w:after="120" w:before="280"/>
      </w:pPr>
      <w:r>
        <w:rPr>
          <w:rFonts w:ascii="Arial" w:cs="Arial" w:eastAsia="Arial" w:hAnsi="Arial"/>
          <w:b/>
          <w:bCs/>
          <w:color w:val="1E293B"/>
          <w:sz w:val="26"/>
          <w:szCs w:val="26"/>
        </w:rPr>
        <w:t xml:space="preserve">6.3 Thread Safety and RT-PREEMPT</w:t>
      </w:r>
    </w:p>
    <w:p>
      <w:pPr>
        <w:spacing w:after="80" w:before="80" w:line="300"/>
        <w:jc w:val="left"/>
      </w:pPr>
      <w:r>
        <w:rPr>
          <w:rFonts w:ascii="Arial" w:cs="Arial" w:eastAsia="Arial" w:hAnsi="Arial"/>
          <w:b w:val="false"/>
          <w:bCs w:val="false"/>
          <w:i w:val="false"/>
          <w:iCs w:val="false"/>
          <w:caps w:val="false"/>
          <w:color w:val="1E293B"/>
          <w:sz w:val="22"/>
          <w:szCs w:val="22"/>
        </w:rPr>
        <w:t xml:space="preserve">The IA pipeline is implemented as a coroutine-based system using Kotlin coroutines with Dispatchers.IO for network operations and Dispatchers.Default for CPU-bound evaluation. The AAC Integration Layer provides a JNI interface stub for RT-PREEMPT scheduling priority escalation.</w:t>
      </w:r>
    </w:p>
    <w:p>
      <w:pPr>
        <w:spacing w:after="80" w:before="80" w:line="300"/>
        <w:jc w:val="left"/>
      </w:pPr>
      <w:r>
        <w:rPr>
          <w:rFonts w:ascii="Arial" w:cs="Arial" w:eastAsia="Arial" w:hAnsi="Arial"/>
          <w:b w:val="false"/>
          <w:bCs w:val="false"/>
          <w:i w:val="false"/>
          <w:iCs w:val="false"/>
          <w:caps w:val="false"/>
          <w:color w:val="1E293B"/>
          <w:sz w:val="22"/>
          <w:szCs w:val="22"/>
        </w:rPr>
        <w:t xml:space="preserve">The SAFETY CONTRACT of the AAC Integration Layer is absolute: the IA pipeline never claims scheduling priority that would preempt vehicle control system threads. Priority escalation for CRITICAL intents targets Linux SCHED_FIFO priority 80 — below the vehicle control system's reserved range of 85–99.</w:t>
      </w:r>
    </w:p>
    <w:p>
      <w:pPr>
        <w:spacing w:after="0" w:before="0"/>
      </w:pPr>
      <w:r>
        <w:br w:type="page"/>
      </w:r>
    </w:p>
    <w:p>
      <w:pPr>
        <w:pStyle w:val="Heading1"/>
        <w:pBdr>
          <w:bottom w:val="single" w:color="00C4A0" w:sz="8" w:space="4"/>
        </w:pBdr>
        <w:spacing w:after="180" w:before="360"/>
      </w:pPr>
      <w:r>
        <w:rPr>
          <w:rFonts w:ascii="Arial" w:cs="Arial" w:eastAsia="Arial" w:hAnsi="Arial"/>
          <w:b/>
          <w:bCs/>
          <w:sz w:val="32"/>
          <w:szCs w:val="32"/>
        </w:rPr>
        <w:t xml:space="preserve">7. AAC Tier Capability Matrix</w:t>
      </w:r>
    </w:p>
    <w:p>
      <w:pPr>
        <w:spacing w:after="80" w:before="80" w:line="300"/>
        <w:jc w:val="left"/>
      </w:pPr>
      <w:r>
        <w:rPr>
          <w:rFonts w:ascii="Arial" w:cs="Arial" w:eastAsia="Arial" w:hAnsi="Arial"/>
          <w:b w:val="false"/>
          <w:bCs w:val="false"/>
          <w:i w:val="false"/>
          <w:iCs w:val="false"/>
          <w:caps w:val="false"/>
          <w:color w:val="1E293B"/>
          <w:sz w:val="22"/>
          <w:szCs w:val="22"/>
        </w:rPr>
        <w:t xml:space="preserve">The IA's capability set maps directly to the five-tier AAC architecture. Each tier unlocks additional IA layers and capabilities:</w:t>
      </w:r>
    </w:p>
    <w:p>
      <w:pPr>
        <w:spacing w:after="0" w:before="80"/>
      </w:pPr>
      <w:r>
        <w:rPr>
          <w:rFonts w:ascii="Arial" w:cs="Arial" w:eastAsia="Arial" w:hAnsi="Arial"/>
          <w:b w:val="false"/>
          <w:bCs w:val="false"/>
          <w:i w:val="false"/>
          <w:iCs w:val="false"/>
          <w:caps w:val="false"/>
          <w:color w:val="1E293B"/>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2400"/>
        <w:gridCol w:w="2160"/>
        <w:gridCol w:w="960"/>
      </w:tblGrid>
      <w:tr>
        <w:trPr>
          <w:tblHeader/>
        </w:trPr>
        <w:tc>
          <w:tcPr>
            <w:tcW w:type="dxa" w:w="144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tcPr>
          <w:p>
            <w:pPr>
              <w:jc w:val="left"/>
            </w:pPr>
            <w:r>
              <w:rPr>
                <w:rFonts w:ascii="Arial" w:cs="Arial" w:eastAsia="Arial" w:hAnsi="Arial"/>
                <w:b/>
                <w:bCs/>
                <w:i w:val="false"/>
                <w:iCs w:val="false"/>
                <w:caps/>
                <w:color w:val="FFFFFF"/>
                <w:sz w:val="19"/>
                <w:szCs w:val="19"/>
              </w:rPr>
              <w:t xml:space="preserve">Tier</w:t>
            </w:r>
          </w:p>
        </w:tc>
        <w:tc>
          <w:tcPr>
            <w:tcW w:type="dxa" w:w="24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tcPr>
          <w:p>
            <w:pPr>
              <w:jc w:val="left"/>
            </w:pPr>
            <w:r>
              <w:rPr>
                <w:rFonts w:ascii="Arial" w:cs="Arial" w:eastAsia="Arial" w:hAnsi="Arial"/>
                <w:b/>
                <w:bCs/>
                <w:i w:val="false"/>
                <w:iCs w:val="false"/>
                <w:caps/>
                <w:color w:val="FFFFFF"/>
                <w:sz w:val="19"/>
                <w:szCs w:val="19"/>
              </w:rPr>
              <w:t xml:space="preserve">Input Types</w:t>
            </w:r>
          </w:p>
        </w:tc>
        <w:tc>
          <w:tcPr>
            <w:tcW w:type="dxa" w:w="24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tcPr>
          <w:p>
            <w:pPr>
              <w:jc w:val="left"/>
            </w:pPr>
            <w:r>
              <w:rPr>
                <w:rFonts w:ascii="Arial" w:cs="Arial" w:eastAsia="Arial" w:hAnsi="Arial"/>
                <w:b/>
                <w:bCs/>
                <w:i w:val="false"/>
                <w:iCs w:val="false"/>
                <w:caps/>
                <w:color w:val="FFFFFF"/>
                <w:sz w:val="19"/>
                <w:szCs w:val="19"/>
              </w:rPr>
              <w:t xml:space="preserve">Layers Active</w:t>
            </w:r>
          </w:p>
        </w:tc>
        <w:tc>
          <w:tcPr>
            <w:tcW w:type="dxa" w:w="216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tcPr>
          <w:p>
            <w:pPr>
              <w:jc w:val="left"/>
            </w:pPr>
            <w:r>
              <w:rPr>
                <w:rFonts w:ascii="Arial" w:cs="Arial" w:eastAsia="Arial" w:hAnsi="Arial"/>
                <w:b/>
                <w:bCs/>
                <w:i w:val="false"/>
                <w:iCs w:val="false"/>
                <w:caps/>
                <w:color w:val="FFFFFF"/>
                <w:sz w:val="19"/>
                <w:szCs w:val="19"/>
              </w:rPr>
              <w:t xml:space="preserve">Orchestration Strategies</w:t>
            </w:r>
          </w:p>
        </w:tc>
        <w:tc>
          <w:tcPr>
            <w:tcW w:type="dxa" w:w="96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tcPr>
          <w:p>
            <w:pPr>
              <w:jc w:val="left"/>
            </w:pPr>
            <w:r>
              <w:rPr>
                <w:rFonts w:ascii="Arial" w:cs="Arial" w:eastAsia="Arial" w:hAnsi="Arial"/>
                <w:b/>
                <w:bCs/>
                <w:i w:val="false"/>
                <w:iCs w:val="false"/>
                <w:caps/>
                <w:color w:val="FFFFFF"/>
                <w:sz w:val="19"/>
                <w:szCs w:val="19"/>
              </w:rPr>
              <w:t xml:space="preserve">Auth</w:t>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Bronze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Text only</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Input, Intent, Prompt, Orchestrate (single), Evaluate, AAC</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SINGLE_MODEL only</w:t>
            </w:r>
          </w:p>
        </w:tc>
        <w:tc>
          <w:tcPr>
            <w:tcW w:type="dxa" w:w="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None</w:t>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Silver</w:t>
            </w:r>
          </w:p>
        </w:tc>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Text, Voice, Vision, GPS/ALE</w:t>
            </w:r>
          </w:p>
        </w:tc>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All 6 layers</w:t>
            </w:r>
          </w:p>
        </w:tc>
        <w:tc>
          <w:tcPr>
            <w:tcW w:type="dxa" w:w="2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SINGLE_MODEL, FALLBACK_CHAIN</w:t>
            </w:r>
          </w:p>
        </w:tc>
        <w:tc>
          <w:tcPr>
            <w:tcW w:type="dxa" w:w="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None</w:t>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Magnesium</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All types including CAN Bus, CAC/PIV</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All 6 layers, full orchestration</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All 4 strategies</w:t>
            </w:r>
          </w:p>
        </w:tc>
        <w:tc>
          <w:tcPr>
            <w:tcW w:type="dxa" w:w="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CAC/PIV gate active</w:t>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Diamond</w:t>
            </w:r>
          </w:p>
        </w:tc>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All types, domain-tuned models</w:t>
            </w:r>
          </w:p>
        </w:tc>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All 6 layers, full orchestration, audit trail</w:t>
            </w:r>
          </w:p>
        </w:tc>
        <w:tc>
          <w:tcPr>
            <w:tcW w:type="dxa" w:w="2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All 4 strategies</w:t>
            </w:r>
          </w:p>
        </w:tc>
        <w:tc>
          <w:tcPr>
            <w:tcW w:type="dxa" w:w="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Full PIV slot support</w:t>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Pure Gold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All types, federated learning</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All 6 layers + autonomous self-correction + learning</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All 4 strategies + adaptive routing</w:t>
            </w:r>
          </w:p>
        </w:tc>
        <w:tc>
          <w:tcPr>
            <w:tcW w:type="dxa" w:w="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Full PIV + biometric</w:t>
            </w:r>
          </w:p>
        </w:tc>
      </w:tr>
    </w:tbl>
    <w:p>
      <w:pPr>
        <w:spacing w:after="0" w:before="80"/>
      </w:pPr>
      <w:r>
        <w:rPr>
          <w:rFonts w:ascii="Arial" w:cs="Arial" w:eastAsia="Arial" w:hAnsi="Arial"/>
          <w:b w:val="false"/>
          <w:bCs w:val="false"/>
          <w:i w:val="false"/>
          <w:iCs w:val="false"/>
          <w:caps w:val="false"/>
          <w:color w:val="1E293B"/>
          <w:sz w:val="10"/>
          <w:szCs w:val="10"/>
        </w:rPr>
        <w:t xml:space="preserve"/>
      </w:r>
    </w:p>
    <w:p>
      <w:pPr>
        <w:spacing w:after="80" w:before="80" w:line="300"/>
        <w:jc w:val="left"/>
      </w:pPr>
      <w:r>
        <w:rPr>
          <w:rFonts w:ascii="Arial" w:cs="Arial" w:eastAsia="Arial" w:hAnsi="Arial"/>
          <w:b w:val="false"/>
          <w:bCs w:val="false"/>
          <w:i w:val="false"/>
          <w:iCs w:val="false"/>
          <w:caps w:val="false"/>
          <w:color w:val="1E293B"/>
          <w:sz w:val="22"/>
          <w:szCs w:val="22"/>
        </w:rPr>
        <w:t xml:space="preserve">The tier system enables incremental deployment across commercial vehicle fleets. A Bronze-tier deployment delivers meaningful AI assistance with a single cloud model and no hardware authentication requirements. Pure Gold deployments add autonomous learning, self-correction, and biometric authentication — appropriate for defense and rail contexts where the full IA capability is warranted.</w:t>
      </w:r>
    </w:p>
    <w:p>
      <w:pPr>
        <w:spacing w:after="0" w:before="0"/>
      </w:pPr>
      <w:r>
        <w:br w:type="page"/>
      </w:r>
    </w:p>
    <w:p>
      <w:pPr>
        <w:pStyle w:val="Heading1"/>
        <w:pBdr>
          <w:bottom w:val="single" w:color="00C4A0" w:sz="8" w:space="4"/>
        </w:pBdr>
        <w:spacing w:after="180" w:before="360"/>
      </w:pPr>
      <w:r>
        <w:rPr>
          <w:rFonts w:ascii="Arial" w:cs="Arial" w:eastAsia="Arial" w:hAnsi="Arial"/>
          <w:b/>
          <w:bCs/>
          <w:sz w:val="32"/>
          <w:szCs w:val="32"/>
        </w:rPr>
        <w:t xml:space="preserve">8. RT-PREEMPT Integration</w:t>
      </w:r>
    </w:p>
    <w:p>
      <w:pPr>
        <w:spacing w:after="80" w:before="80" w:line="300"/>
        <w:jc w:val="left"/>
      </w:pPr>
      <w:r>
        <w:rPr>
          <w:rFonts w:ascii="Arial" w:cs="Arial" w:eastAsia="Arial" w:hAnsi="Arial"/>
          <w:b w:val="false"/>
          <w:bCs w:val="false"/>
          <w:i w:val="false"/>
          <w:iCs w:val="false"/>
          <w:caps w:val="false"/>
          <w:color w:val="1E293B"/>
          <w:sz w:val="22"/>
          <w:szCs w:val="22"/>
        </w:rPr>
        <w:t xml:space="preserve">The AAC Ecosystem targets commercial and industrial Android deployments where real-time scheduling guarantees are required. The IA integrates with the Linux RT-PREEMPT kernel patch set to ensure that AI inference processing never interferes with vehicle control, safety monitoring, or sensor acquisition threads.</w:t>
      </w:r>
    </w:p>
    <w:p>
      <w:pPr>
        <w:pStyle w:val="Heading2"/>
        <w:spacing w:after="120" w:before="280"/>
      </w:pPr>
      <w:r>
        <w:rPr>
          <w:rFonts w:ascii="Arial" w:cs="Arial" w:eastAsia="Arial" w:hAnsi="Arial"/>
          <w:b/>
          <w:bCs/>
          <w:color w:val="1E293B"/>
          <w:sz w:val="26"/>
          <w:szCs w:val="26"/>
        </w:rPr>
        <w:t xml:space="preserve">8.1 Priority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360"/>
      </w:tblGrid>
      <w:tr>
        <w:trPr>
          <w:tblHeader/>
        </w:trPr>
        <w:tc>
          <w:tcPr>
            <w:tcW w:type="dxa" w:w="28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tcPr>
          <w:p>
            <w:pPr>
              <w:jc w:val="left"/>
            </w:pPr>
            <w:r>
              <w:rPr>
                <w:rFonts w:ascii="Arial" w:cs="Arial" w:eastAsia="Arial" w:hAnsi="Arial"/>
                <w:b/>
                <w:bCs/>
                <w:i w:val="false"/>
                <w:iCs w:val="false"/>
                <w:caps/>
                <w:color w:val="FFFFFF"/>
                <w:sz w:val="19"/>
                <w:szCs w:val="19"/>
              </w:rPr>
              <w:t xml:space="preserve">Thread Class</w:t>
            </w:r>
          </w:p>
        </w:tc>
        <w:tc>
          <w:tcPr>
            <w:tcW w:type="dxa" w:w="22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tcPr>
          <w:p>
            <w:pPr>
              <w:jc w:val="left"/>
            </w:pPr>
            <w:r>
              <w:rPr>
                <w:rFonts w:ascii="Arial" w:cs="Arial" w:eastAsia="Arial" w:hAnsi="Arial"/>
                <w:b/>
                <w:bCs/>
                <w:i w:val="false"/>
                <w:iCs w:val="false"/>
                <w:caps/>
                <w:color w:val="FFFFFF"/>
                <w:sz w:val="19"/>
                <w:szCs w:val="19"/>
              </w:rPr>
              <w:t xml:space="preserve">Scheduling Policy</w:t>
            </w:r>
          </w:p>
        </w:tc>
        <w:tc>
          <w:tcPr>
            <w:tcW w:type="dxa" w:w="20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tcPr>
          <w:p>
            <w:pPr>
              <w:jc w:val="left"/>
            </w:pPr>
            <w:r>
              <w:rPr>
                <w:rFonts w:ascii="Arial" w:cs="Arial" w:eastAsia="Arial" w:hAnsi="Arial"/>
                <w:b/>
                <w:bCs/>
                <w:i w:val="false"/>
                <w:iCs w:val="false"/>
                <w:caps/>
                <w:color w:val="FFFFFF"/>
                <w:sz w:val="19"/>
                <w:szCs w:val="19"/>
              </w:rPr>
              <w:t xml:space="preserve">Priority Range</w:t>
            </w:r>
          </w:p>
        </w:tc>
        <w:tc>
          <w:tcPr>
            <w:tcW w:type="dxa" w:w="236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tcPr>
          <w:p>
            <w:pPr>
              <w:jc w:val="left"/>
            </w:pPr>
            <w:r>
              <w:rPr>
                <w:rFonts w:ascii="Arial" w:cs="Arial" w:eastAsia="Arial" w:hAnsi="Arial"/>
                <w:b/>
                <w:bCs/>
                <w:i w:val="false"/>
                <w:iCs w:val="false"/>
                <w:caps/>
                <w:color w:val="FFFFFF"/>
                <w:sz w:val="19"/>
                <w:szCs w:val="19"/>
              </w:rPr>
              <w:t xml:space="preserve">Owner</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Vehicle safety systems</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SCHED_FIFO</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85–99</w:t>
            </w:r>
          </w:p>
        </w:tc>
        <w:tc>
          <w:tcPr>
            <w:tcW w:type="dxa" w:w="2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Vehicle OS</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Vehicle control threads</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SCHED_FIFO</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70–84</w:t>
            </w:r>
          </w:p>
        </w:tc>
        <w:tc>
          <w:tcPr>
            <w:tcW w:type="dxa" w:w="2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Vehicle OS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IA CRITICAL operations</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SCHED_FIFO</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80</w:t>
            </w:r>
          </w:p>
        </w:tc>
        <w:tc>
          <w:tcPr>
            <w:tcW w:type="dxa" w:w="2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IA — AAC Layer</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IA HIGH priority operations</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SCHED_FIFO</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40</w:t>
            </w:r>
          </w:p>
        </w:tc>
        <w:tc>
          <w:tcPr>
            <w:tcW w:type="dxa" w:w="2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IA — AAC Layer</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IA NORMAL operations</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SCHED_OTHER</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0</w:t>
            </w:r>
          </w:p>
        </w:tc>
        <w:tc>
          <w:tcPr>
            <w:tcW w:type="dxa" w:w="2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IA — Default</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IA background tasks</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SCHED_BATCH</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-10</w:t>
            </w:r>
          </w:p>
        </w:tc>
        <w:tc>
          <w:tcPr>
            <w:tcW w:type="dxa" w:w="2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9"/>
                <w:szCs w:val="19"/>
              </w:rPr>
              <w:t xml:space="preserve">IA — Audit, cleanup</w:t>
            </w:r>
          </w:p>
        </w:tc>
      </w:tr>
    </w:tbl>
    <w:p>
      <w:pPr>
        <w:spacing w:after="0" w:before="80"/>
      </w:pPr>
      <w:r>
        <w:rPr>
          <w:rFonts w:ascii="Arial" w:cs="Arial" w:eastAsia="Arial" w:hAnsi="Arial"/>
          <w:b w:val="false"/>
          <w:bCs w:val="false"/>
          <w:i w:val="false"/>
          <w:iCs w:val="false"/>
          <w:caps w:val="false"/>
          <w:color w:val="1E293B"/>
          <w:sz w:val="10"/>
          <w:szCs w:val="10"/>
        </w:rPr>
        <w:t xml:space="preserve"/>
      </w:r>
    </w:p>
    <w:p>
      <w:pPr>
        <w:spacing w:after="80" w:before="80" w:line="300"/>
        <w:jc w:val="left"/>
      </w:pPr>
      <w:r>
        <w:rPr>
          <w:rFonts w:ascii="Arial" w:cs="Arial" w:eastAsia="Arial" w:hAnsi="Arial"/>
          <w:b w:val="false"/>
          <w:bCs w:val="false"/>
          <w:i w:val="false"/>
          <w:iCs w:val="false"/>
          <w:caps w:val="false"/>
          <w:color w:val="1E293B"/>
          <w:sz w:val="22"/>
          <w:szCs w:val="22"/>
        </w:rPr>
        <w:t xml:space="preserve">The SCHED_FIFO priority 80 assignment for CRITICAL IA operations is deliberately positioned below the vehicle safety and control system ranges. This ensures that even in emergency scenarios — where the IA escalates to maximum priority — vehicle-level real-time guarantees are preserved.</w:t>
      </w:r>
    </w:p>
    <w:p>
      <w:pPr>
        <w:pStyle w:val="Heading2"/>
        <w:spacing w:after="120" w:before="280"/>
      </w:pPr>
      <w:r>
        <w:rPr>
          <w:rFonts w:ascii="Arial" w:cs="Arial" w:eastAsia="Arial" w:hAnsi="Arial"/>
          <w:b/>
          <w:bCs/>
          <w:color w:val="1E293B"/>
          <w:sz w:val="26"/>
          <w:szCs w:val="26"/>
        </w:rPr>
        <w:t xml:space="preserve">8.2 JNI Integration</w:t>
      </w:r>
    </w:p>
    <w:p>
      <w:pPr>
        <w:spacing w:after="80" w:before="80" w:line="300"/>
        <w:jc w:val="left"/>
      </w:pPr>
      <w:r>
        <w:rPr>
          <w:rFonts w:ascii="Arial" w:cs="Arial" w:eastAsia="Arial" w:hAnsi="Arial"/>
          <w:b w:val="false"/>
          <w:bCs w:val="false"/>
          <w:i w:val="false"/>
          <w:iCs w:val="false"/>
          <w:caps w:val="false"/>
          <w:color w:val="1E293B"/>
          <w:sz w:val="22"/>
          <w:szCs w:val="22"/>
        </w:rPr>
        <w:t xml:space="preserve">The production RT-PREEMPT interface is implemented as a JNI bridge to pthread_setschedparam. The v0.1 skeleton includes a documented stub in AACIntegrationLayer.kt at the setRtPriority() entry point. The JNI bridge is implemented as a CMake-compiled native library, loaded at AAC Layer initialization.</w:t>
      </w:r>
    </w:p>
    <w:p>
      <w:pPr>
        <w:spacing w:after="0" w:before="0"/>
      </w:pPr>
      <w:r>
        <w:br w:type="page"/>
      </w:r>
    </w:p>
    <w:p>
      <w:pPr>
        <w:pStyle w:val="Heading1"/>
        <w:pBdr>
          <w:bottom w:val="single" w:color="00C4A0" w:sz="8" w:space="4"/>
        </w:pBdr>
        <w:spacing w:after="180" w:before="360"/>
      </w:pPr>
      <w:r>
        <w:rPr>
          <w:rFonts w:ascii="Arial" w:cs="Arial" w:eastAsia="Arial" w:hAnsi="Arial"/>
          <w:b/>
          <w:bCs/>
          <w:sz w:val="32"/>
          <w:szCs w:val="32"/>
        </w:rPr>
        <w:t xml:space="preserve">9. Implementation Roadmap</w:t>
      </w:r>
    </w:p>
    <w:p>
      <w:pPr>
        <w:pStyle w:val="Heading2"/>
        <w:spacing w:after="120" w:before="280"/>
      </w:pPr>
      <w:r>
        <w:rPr>
          <w:rFonts w:ascii="Arial" w:cs="Arial" w:eastAsia="Arial" w:hAnsi="Arial"/>
          <w:b/>
          <w:bCs/>
          <w:color w:val="1E293B"/>
          <w:sz w:val="26"/>
          <w:szCs w:val="26"/>
        </w:rPr>
        <w:t xml:space="preserve">9.1 Phase 1 — Bronze Foundation (2026–2027)</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Kotlin library module deployment as Android library (.aar)</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Text-only input with Claude API cloud runner</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Rule-based intent classifier (9 domains)</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SINGLE_MODEL orchestration strategy</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Basic confidence scoring and hallucination detection</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Local audit trail writer</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FALLBACK_CHAIN with static fallback strings</w:t>
      </w:r>
    </w:p>
    <w:p>
      <w:pPr>
        <w:pStyle w:val="Heading2"/>
        <w:spacing w:after="120" w:before="280"/>
      </w:pPr>
      <w:r>
        <w:rPr>
          <w:rFonts w:ascii="Arial" w:cs="Arial" w:eastAsia="Arial" w:hAnsi="Arial"/>
          <w:b/>
          <w:bCs/>
          <w:color w:val="1E293B"/>
          <w:sz w:val="26"/>
          <w:szCs w:val="26"/>
        </w:rPr>
        <w:t xml:space="preserve">9.2 Phase 2 — Silver/Magnesium (2027–2029)</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Voice capture with on-device Whisper STT integration</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Vision input via Camera2 API and MediaPipe</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MobileBERT TFLite intent classifier replacing rule engine</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PARALLEL_RACE and PARALLEL_CONSENSUS strategies</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CAN Bus input layer with frame accumulation</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CAC/PIV authentication gate via YubiKit Android SDK</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RT-PREEMPT JNI bridge implementation</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ALE integration with Adaptive Location Engine</w:t>
      </w:r>
    </w:p>
    <w:p>
      <w:pPr>
        <w:pStyle w:val="Heading2"/>
        <w:spacing w:after="120" w:before="280"/>
      </w:pPr>
      <w:r>
        <w:rPr>
          <w:rFonts w:ascii="Arial" w:cs="Arial" w:eastAsia="Arial" w:hAnsi="Arial"/>
          <w:b/>
          <w:bCs/>
          <w:color w:val="1E293B"/>
          <w:sz w:val="26"/>
          <w:szCs w:val="26"/>
        </w:rPr>
        <w:t xml:space="preserve">9.3 Phase 3 — Diamond (2029–2033)</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Domain-tuned fine-tuned on-device models per vertical (rail, logistics, defense)</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Multi-model synthesis via extractive summarization</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Distributed audit trail with cryptographic signing</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Full PIV slot support with certificate chain validation</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Adaptive prompt calibration based on historical confidence data</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Cross-session context persistence (encrypted local store)</w:t>
      </w:r>
    </w:p>
    <w:p>
      <w:pPr>
        <w:pStyle w:val="Heading2"/>
        <w:spacing w:after="120" w:before="280"/>
      </w:pPr>
      <w:r>
        <w:rPr>
          <w:rFonts w:ascii="Arial" w:cs="Arial" w:eastAsia="Arial" w:hAnsi="Arial"/>
          <w:b/>
          <w:bCs/>
          <w:color w:val="1E293B"/>
          <w:sz w:val="26"/>
          <w:szCs w:val="26"/>
        </w:rPr>
        <w:t xml:space="preserve">9.4 Phase 4 — Pure Gold (2033–2038)</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Federated on-device learning — fleet-level model improvement without data egress</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Autonomous self-correction loop — IA evaluates its own outputs post-dispatch and updates scoring weights</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Biometric authentication integration (fingerprint, iris) as PIV supplement</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Adaptive routing intelligence — model selection based on live performance telemetry</w:t>
      </w:r>
    </w:p>
    <w:p>
      <w:pPr>
        <w:pStyle w:val="ListParagraph"/>
        <w:numPr>
          <w:ilvl w:val="0"/>
          <w:numId w:val="2"/>
        </w:numPr>
        <w:spacing w:after="60" w:before="60" w:line="276"/>
      </w:pPr>
      <w:r>
        <w:rPr>
          <w:rFonts w:ascii="Arial" w:cs="Arial" w:eastAsia="Arial" w:hAnsi="Arial"/>
          <w:b w:val="false"/>
          <w:bCs w:val="false"/>
          <w:i w:val="false"/>
          <w:iCs w:val="false"/>
          <w:caps w:val="false"/>
          <w:color w:val="1E293B"/>
          <w:sz w:val="22"/>
          <w:szCs w:val="22"/>
        </w:rPr>
        <w:t xml:space="preserve">Full multimodal fusion — simultaneous voice, vision, and sensor processing in single inference pass</w:t>
      </w:r>
    </w:p>
    <w:p>
      <w:pPr>
        <w:spacing w:after="0" w:before="0"/>
      </w:pPr>
      <w:r>
        <w:br w:type="page"/>
      </w:r>
    </w:p>
    <w:p>
      <w:pPr>
        <w:pStyle w:val="Heading1"/>
        <w:pBdr>
          <w:bottom w:val="single" w:color="00C4A0" w:sz="8" w:space="4"/>
        </w:pBdr>
        <w:spacing w:after="180" w:before="360"/>
      </w:pPr>
      <w:r>
        <w:rPr>
          <w:rFonts w:ascii="Arial" w:cs="Arial" w:eastAsia="Arial" w:hAnsi="Arial"/>
          <w:b/>
          <w:bCs/>
          <w:sz w:val="32"/>
          <w:szCs w:val="32"/>
        </w:rPr>
        <w:t xml:space="preserve">10. Conclusion</w:t>
      </w:r>
    </w:p>
    <w:p>
      <w:pPr>
        <w:spacing w:after="80" w:before="80" w:line="300"/>
        <w:jc w:val="left"/>
      </w:pPr>
      <w:r>
        <w:rPr>
          <w:rFonts w:ascii="Arial" w:cs="Arial" w:eastAsia="Arial" w:hAnsi="Arial"/>
          <w:b w:val="false"/>
          <w:bCs w:val="false"/>
          <w:i w:val="false"/>
          <w:iCs w:val="false"/>
          <w:caps w:val="false"/>
          <w:color w:val="1E293B"/>
          <w:sz w:val="22"/>
          <w:szCs w:val="22"/>
        </w:rPr>
        <w:t xml:space="preserve">The IA Assistant represents a fundamentally different approach to AI integration in commercial vehicle systems. Rather than exposing models directly to operators, the IA establishes a governed intelligence plane that transforms raw model outputs into validated, confidence-graded, safety-cleared operator responses.</w:t>
      </w:r>
    </w:p>
    <w:p>
      <w:pPr>
        <w:spacing w:after="80" w:before="80" w:line="300"/>
        <w:jc w:val="left"/>
      </w:pPr>
      <w:r>
        <w:rPr>
          <w:rFonts w:ascii="Arial" w:cs="Arial" w:eastAsia="Arial" w:hAnsi="Arial"/>
          <w:b w:val="false"/>
          <w:bCs w:val="false"/>
          <w:i w:val="false"/>
          <w:iCs w:val="false"/>
          <w:caps w:val="false"/>
          <w:color w:val="1E293B"/>
          <w:sz w:val="22"/>
          <w:szCs w:val="22"/>
        </w:rPr>
        <w:t xml:space="preserve">The six-layer architecture is designed for operational reality: cloud networks fail, models hallucinate, operators issue ambiguous commands under stress, and vehicle control systems require hard scheduling guarantees. The IA is designed to handle all of these conditions simultaneously, maintaining a guaranteed response path at every tier of deployment.</w:t>
      </w:r>
    </w:p>
    <w:p>
      <w:pPr>
        <w:spacing w:after="0" w:before="80"/>
      </w:pPr>
      <w:r>
        <w:rPr>
          <w:rFonts w:ascii="Arial" w:cs="Arial" w:eastAsia="Arial" w:hAnsi="Arial"/>
          <w:b w:val="false"/>
          <w:bCs w:val="false"/>
          <w:i w:val="false"/>
          <w:iCs w:val="false"/>
          <w:caps w:val="false"/>
          <w:color w:val="1E293B"/>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0C4A0" w:val="clear"/>
            <w:tcMar>
              <w:top w:type="dxa" w:w="120"/>
              <w:left w:type="dxa" w:w="80"/>
              <w:bottom w:type="dxa" w:w="120"/>
              <w:right w:type="dxa" w:w="80"/>
            </w:tcMar>
          </w:tcPr>
          <w:p>
            <w:pPr>
              <w:jc w:val="center"/>
            </w:pPr>
            <w:r>
              <w:rPr>
                <w:rFonts w:ascii="Arial" w:cs="Arial" w:eastAsia="Arial" w:hAnsi="Arial"/>
                <w:b/>
                <w:bCs/>
                <w:i w:val="false"/>
                <w:iCs w:val="false"/>
                <w:caps w:val="false"/>
                <w:color w:val="FFFFFF"/>
                <w:sz w:val="18"/>
                <w:szCs w:val="18"/>
              </w:rPr>
              <w:t xml:space="preserve">VISION</w:t>
            </w:r>
          </w:p>
        </w:tc>
        <w:tc>
          <w:tcPr>
            <w:tcW w:type="dxa" w:w="9120"/>
            <w:tcBorders>
              <w:top w:val="none" w:color="FFFFFF" w:sz="0"/>
              <w:left w:val="none" w:color="FFFFFF" w:sz="0"/>
              <w:bottom w:val="none" w:color="FFFFFF" w:sz="0"/>
              <w:right w:val="none" w:color="FFFFFF" w:sz="0"/>
            </w:tcBorders>
            <w:shd w:fill="E6FAF7" w:val="clear"/>
            <w:tcMar>
              <w:top w:type="dxa" w:w="100"/>
              <w:left w:type="dxa" w:w="160"/>
              <w:bottom w:type="dxa" w:w="100"/>
              <w:right w:type="dxa" w:w="120"/>
            </w:tcMar>
          </w:tcPr>
          <w:p>
            <w:r>
              <w:rPr>
                <w:rFonts w:ascii="Arial" w:cs="Arial" w:eastAsia="Arial" w:hAnsi="Arial"/>
                <w:b w:val="false"/>
                <w:bCs w:val="false"/>
                <w:i w:val="false"/>
                <w:iCs w:val="false"/>
                <w:caps w:val="false"/>
                <w:color w:val="1E293B"/>
                <w:sz w:val="20"/>
                <w:szCs w:val="20"/>
              </w:rPr>
              <w:t xml:space="preserve">By 2038, the IA Assistant will operate as a fully autonomous intelligence governor across fleets of AAC-equipped commercial vehicles — learning from every interaction, adapting to every operational environment, and maintaining a continuous audit trail that makes every AI decision explainable, reviewable, and accountable.</w:t>
            </w:r>
          </w:p>
        </w:tc>
      </w:tr>
    </w:tbl>
    <w:p>
      <w:pPr>
        <w:spacing w:after="0" w:before="80"/>
      </w:pPr>
      <w:r>
        <w:rPr>
          <w:rFonts w:ascii="Arial" w:cs="Arial" w:eastAsia="Arial" w:hAnsi="Arial"/>
          <w:b w:val="false"/>
          <w:bCs w:val="false"/>
          <w:i w:val="false"/>
          <w:iCs w:val="false"/>
          <w:caps w:val="false"/>
          <w:color w:val="1E293B"/>
          <w:sz w:val="10"/>
          <w:szCs w:val="10"/>
        </w:rPr>
        <w:t xml:space="preserve"/>
      </w:r>
    </w:p>
    <w:p>
      <w:pPr>
        <w:spacing w:after="80" w:before="80" w:line="300"/>
        <w:jc w:val="left"/>
      </w:pPr>
      <w:r>
        <w:rPr>
          <w:rFonts w:ascii="Arial" w:cs="Arial" w:eastAsia="Arial" w:hAnsi="Arial"/>
          <w:b w:val="false"/>
          <w:bCs w:val="false"/>
          <w:i w:val="false"/>
          <w:iCs w:val="false"/>
          <w:caps w:val="false"/>
          <w:color w:val="1E293B"/>
          <w:sz w:val="22"/>
          <w:szCs w:val="22"/>
        </w:rPr>
        <w:t xml:space="preserve">The v0.1 skeleton — eight Kotlin files, six layers, four orchestration strategies, full data model — is the foundation. The roadmap from Bronze to Pure Gold is a 12-year program of continuous capability expansion, grounded in the principle that AI in commercial vehicles must earn operator trust one validated response at a time.</w:t>
      </w:r>
    </w:p>
    <w:p>
      <w:pPr>
        <w:spacing w:after="0" w:before="240"/>
      </w:pPr>
      <w:r>
        <w:rPr>
          <w:rFonts w:ascii="Arial" w:cs="Arial" w:eastAsia="Arial" w:hAnsi="Arial"/>
          <w:b w:val="false"/>
          <w:bCs w:val="false"/>
          <w:i w:val="false"/>
          <w:iCs w:val="false"/>
          <w:caps w:val="false"/>
          <w:color w:val="1E293B"/>
          <w:sz w:val="10"/>
          <w:szCs w:val="10"/>
        </w:rPr>
        <w:t xml:space="preserve"/>
      </w:r>
    </w:p>
    <w:p>
      <w:pPr>
        <w:pBdr>
          <w:top w:val="single" w:color="CBD5E1" w:sz="4" w:space="8"/>
        </w:pBdr>
        <w:spacing w:after="0" w:before="240"/>
        <w:jc w:val="center"/>
      </w:pPr>
      <w:r>
        <w:rPr>
          <w:rFonts w:ascii="Arial" w:cs="Arial" w:eastAsia="Arial" w:hAnsi="Arial"/>
          <w:color w:val="94A3B8"/>
          <w:sz w:val="18"/>
          <w:szCs w:val="18"/>
        </w:rPr>
        <w:t xml:space="preserve">Android Auto Commercial Ecosystem  |  IA Assistant Whitepaper v0.1  |  April 2026</w:t>
      </w:r>
    </w:p>
    <w:p>
      <w:pPr>
        <w:spacing w:after="0" w:before="60"/>
        <w:jc w:val="center"/>
      </w:pPr>
      <w:r>
        <w:rPr>
          <w:rFonts w:ascii="Arial" w:cs="Arial" w:eastAsia="Arial" w:hAnsi="Arial"/>
          <w:color w:val="94A3B8"/>
          <w:sz w:val="18"/>
          <w:szCs w:val="18"/>
        </w:rPr>
        <w:t xml:space="preserve">Confidential — Pre-Release Draft — Not for Distribution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293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2026-04-04T15:56:25.857Z</dcterms:created>
  <dcterms:modified xsi:type="dcterms:W3CDTF">2026-04-04T15:56:25.858Z</dcterms:modified>
</cp:coreProperties>
</file>

<file path=docProps/custom.xml><?xml version="1.0" encoding="utf-8"?>
<Properties xmlns="http://schemas.openxmlformats.org/officeDocument/2006/custom-properties" xmlns:vt="http://schemas.openxmlformats.org/officeDocument/2006/docPropsVTypes"/>
</file>