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33</w:t>
      </w:r>
    </w:p>
    <w:p>
      <w:pPr>
        <w:pStyle w:val="Body A"/>
        <w:ind w:left="720" w:hanging="720"/>
        <w:jc w:val="center"/>
        <w:rPr>
          <w:sz w:val="24"/>
          <w:szCs w:val="24"/>
        </w:rPr>
      </w:pPr>
    </w:p>
    <w:p>
      <w:pPr>
        <w:pStyle w:val="Body A"/>
        <w:ind w:left="720" w:hanging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36</w:t>
        <w:tab/>
        <w:tab/>
        <w:tab/>
        <w:t>Field Book of the East bounds of lot No 36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Said lot at a Hickry Stake Standing 4 links NE from a Hard Maple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36 on the NE side No. 37 on the SW side No. 45 on the SE side No. 46 from Thence along the West bounds of lot No. 37 Due Magnetic North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70</w:t>
        <w:tab/>
        <w:t>-</w:t>
        <w:tab/>
        <w:t>Crossed a Brook running NW</w:t>
      </w:r>
      <w:r>
        <w:rPr>
          <w:sz w:val="24"/>
          <w:szCs w:val="24"/>
          <w:rtl w:val="0"/>
          <w:lang w:val="en-US"/>
        </w:rPr>
        <w:t>ly</w:t>
      </w:r>
    </w:p>
    <w:p>
      <w:pPr>
        <w:pStyle w:val="Body A"/>
        <w:ind w:left="720" w:hanging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75</w:t>
        <w:tab/>
        <w:t xml:space="preserve">To the NE Corner of this described in Page 26 [27SE] The land this line Passes through is </w:t>
        <w:tab/>
        <w:tab/>
        <w:tab/>
        <w:t>good Timber Hard Maple linden Some Hickory and Some Black and white Oak</w:t>
      </w:r>
    </w:p>
    <w:p>
      <w:pPr>
        <w:pStyle w:val="Body A"/>
        <w:ind w:left="720" w:hanging="720"/>
        <w:rPr>
          <w:sz w:val="24"/>
          <w:szCs w:val="24"/>
        </w:rPr>
      </w:pPr>
    </w:p>
    <w:p>
      <w:pPr>
        <w:pStyle w:val="Body A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36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Southwest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at a Thorn Bush Stak Standing In the North part of the West bounds of lot No. 43 and 39 links on a Course of South 28 West from a white Oak Tree Marked on the NE side No 36 on the SE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ide No. 45 from Thence Due Magnetic West along the North bounds of lot No. 45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        Observations</w:t>
      </w:r>
    </w:p>
    <w:p>
      <w:pPr>
        <w:pStyle w:val="Body A"/>
        <w:ind w:left="720" w:hanging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  <w:tab/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69</w:t>
        <w:tab/>
        <w:t>-</w:t>
        <w:tab/>
        <w:t>Crossed a Brook runing NWly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67</w:t>
        <w:tab/>
        <w:t xml:space="preserve">To the SE Corner of this lot described In this p. above [36SE] The land this line   </w:t>
      </w:r>
    </w:p>
    <w:p>
      <w:pPr>
        <w:pStyle w:val="Body A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Midling good Timber black and white Oak Hickry Hard Maple</w:t>
      </w:r>
    </w:p>
    <w:p>
      <w:pPr>
        <w:pStyle w:val="Body A"/>
        <w:ind w:left="720" w:hanging="720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36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described In p. 26 [27SW] from Thence Due Magnetic South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at </w:t>
        <w:tab/>
        <w:tab/>
        <w:tab/>
        <w:tab/>
        <w:tab/>
        <w:t xml:space="preserve">              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</w:t>
        <w:tab/>
        <w:t>-</w:t>
        <w:tab/>
        <w:t>Crossed a run Runing NWly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</w:t>
        <w:tab/>
        <w:t>-</w:t>
        <w:tab/>
        <w:t>Crossed Catherines Town road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61</w:t>
        <w:tab/>
        <w:t>-</w:t>
        <w:tab/>
        <w:t>Crossed a Brook running NWly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13</w:t>
        <w:tab/>
        <w:t xml:space="preserve">To the SW Corner of this lot described In this p. above [36SW]. The land this line Passes </w:t>
      </w:r>
    </w:p>
    <w:p>
      <w:pPr>
        <w:pStyle w:val="Body A"/>
        <w:ind w:left="720" w:firstLine="720"/>
      </w:pPr>
      <w:r>
        <w:rPr>
          <w:sz w:val="24"/>
          <w:szCs w:val="24"/>
          <w:rtl w:val="0"/>
          <w:lang w:val="en-US"/>
        </w:rPr>
        <w:t>Through is good Timber Hard Maple Black and white Oak and Some what Stony</w:t>
      </w:r>
    </w:p>
    <w:sectPr>
      <w:headerReference w:type="default" r:id="rId4"/>
      <w:footerReference w:type="default" r:id="rId5"/>
      <w:pgSz w:w="12240" w:h="15840" w:orient="portrait"/>
      <w:pgMar w:top="1440" w:right="720" w:bottom="1080" w:left="1080" w:header="720" w:footer="864"/>
      <w:pgNumType w:start="2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220"/>
        <w:tab w:val="right" w:pos="10420"/>
        <w:tab w:val="clear" w:pos="902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