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868671" cy="4538346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45383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(14)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[Lots No. 40 &amp; 41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East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ry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un Bear:  Wly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the road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very good Land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Land continues good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earing White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Oak and Basswood--mainly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small run of Water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earing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SWly Excellent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133.50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Intersected the East Bounds of the Lots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Vide Northeast &amp; Southeast Corner of Lots No. 41 &amp; 40 page 5th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0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N.S.B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f Lot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31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ff0000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a small White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and numbered for the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Northwest and Southwest Corner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 Lots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31 &amp; 40 Standing on the Bank of the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lake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26.50 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run bear: SWly Ascending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and good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run bear: NWly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50 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the same again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51.50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the road good land &amp; Well Timbered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Intersected the East bounds of the Lots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2.1pt;height:357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(14)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[Lots No. 40 &amp; 41 cont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East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ry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un Bear:  Wly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the road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very good Land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Land continues good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earing White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Oak and Basswood--mainly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small run of Water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earing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SWly Excellent Land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133.50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Intersected the East Bounds of the Lots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Vide Northeast &amp; Southeast Corner of Lots No. 41 &amp; 40 page 5th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0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N.S.B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f Lot 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31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ff0000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Beginning at a small White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ree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and numbered for the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Northwest and Southwest Corner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 Lots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31 &amp; 40 Standing on the Bank of the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lake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26.50 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run bear: SWly Ascending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and good Land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run bear: NWly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50 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the same again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51.50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the road good land &amp; Well Timbered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Intersected the East bounds of the Lots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