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685800</wp:posOffset>
                </wp:positionV>
                <wp:extent cx="5937250" cy="13589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35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515"/>
                              <w:gridCol w:w="12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Remarks (28)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39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</w:rPr>
                                    <w:t>[E &amp; W Bounds of Lots No. 89 &amp; 90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ff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 the North Bounds of Lot No. 97 being the Southeast and Southwest Corner of the Said Lots No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89 &amp; 90  Land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but Midling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Bearing Chesnut Oak &amp; pine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39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E.W B.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of Lots No. 90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&amp; 91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North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Beginning at Chesnut Oak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and Numbered for the Southeast and Southwest Corner of Lots No. 90 &amp; 91 Standing on the North Bounds of Lot No. 9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0 [97]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Descended a Hill and 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Brook running N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wet Swamp and began to Ascend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58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and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 Chesnut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Oak tree for the Corner of Lots No. 90. 91.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81 &amp; 82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Land is rather rough &amp; uneven bearing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Oak Chesnut pine &amp;c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14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 W 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of Lots No. 81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82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92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Brook running Westerly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and Numbered a White Oak tree for the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Corner of Lots No. 81 &amp; 82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5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4.0pt;width:467.5pt;height:10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515"/>
                        <w:gridCol w:w="1270"/>
                        <w:gridCol w:w="1350"/>
                        <w:gridCol w:w="5215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Remarks (28)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39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</w:rPr>
                              <w:t>[E &amp; W Bounds of Lots No. 89 &amp; 90 cont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ff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 the North Bounds of Lot No. 97 being the Southeast and Southwest Corner of the Said Lots No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89 &amp; 90  Land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but Midling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Bearing Chesnut Oak &amp; pine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39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E.W B.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of Lots No. 90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&amp; 91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North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Beginning at Chesnut Oak tree 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and Numbered for the Southeast and Southwest Corner of Lots No. 90 &amp; 91 Standing on the North Bounds of Lot No. 9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0 [97]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Descended a Hill and 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Brook running N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wet Swamp and began to Ascend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58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and Number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 Chesnut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Oak tree for the Corner of Lots No. 90. 91.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81 &amp; 82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Land is rather rough &amp; uneven bearing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Oak Chesnut pine &amp;c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14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 W 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of Lots No. 81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82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92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Brook running Westerly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34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and Numbered a White Oak tree for the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Corner of Lots No. 81 &amp; 82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5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