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5"/>
        <w:gridCol w:w="1278"/>
        <w:gridCol w:w="1254"/>
        <w:gridCol w:w="555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(47)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 bounds of Lot No. 10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Beginning at a Beach Tree being the Northeast Corner of the Township and of Lot No. 10 mark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d on the Southeasterly Side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en-US"/>
              </w:rPr>
              <w:t>NW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for the Northwest Corner of Township No. 22 and on the Southwesterly Side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NE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for the Northeast Corner of Township No. 21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Run of Water in a Hollow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80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Stake Standing in the East bounds of this run [?] 10 Links East of a Maple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Num: for the Corner of No. 10 &amp; 19 by the Southeast &amp; Northeast Corner thereof-Good Land bearing Beach Maple Elm White Ash Basswood &amp;c.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 Bounds of Lot No.19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48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Land descending towards the South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80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hard Maple Sapling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for the Southeast and Northeast Corner of Lots No.19 &amp; 29 Standing in the East Bounds of the Township - Good Level Land bearing Timber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