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51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56</w:t>
        <w:tab/>
        <w:tab/>
        <w:tab/>
        <w:tab/>
        <w:t>East bounds of lot No. 56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NE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described In p. 42 [46SE] from Thence Due Magnetic South alon the West bounds of lot No. 57.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10</w:t>
        <w:tab/>
        <w:t>-</w:t>
        <w:tab/>
        <w:t>Crossed a run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25</w:t>
        <w:tab/>
        <w:t>-</w:t>
        <w:tab/>
        <w:t>Entered white Oak woods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31</w:t>
        <w:tab/>
        <w:t>-</w:t>
        <w:tab/>
        <w:t>Out of it and entered land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with all kind of Timber</w:t>
      </w:r>
    </w:p>
    <w:p>
      <w:pPr>
        <w:pStyle w:val="Body A"/>
        <w:spacing w:after="0" w:line="276" w:lineRule="auto"/>
        <w:rPr>
          <w:sz w:val="24"/>
          <w:szCs w:val="24"/>
          <w:shd w:val="clear" w:color="auto" w:fill="feffff"/>
        </w:rPr>
      </w:pPr>
      <w:r>
        <w:rPr>
          <w:sz w:val="24"/>
          <w:szCs w:val="24"/>
          <w:rtl w:val="0"/>
        </w:rPr>
        <w:t>32</w:t>
        <w:tab/>
        <w:t>-</w:t>
        <w:tab/>
      </w:r>
      <w:r>
        <w:rPr>
          <w:sz w:val="24"/>
          <w:szCs w:val="24"/>
          <w:shd w:val="clear" w:color="auto" w:fill="feffff"/>
          <w:rtl w:val="0"/>
          <w:lang w:val="en-US"/>
        </w:rPr>
        <w:t>Crossed a run runing NEly runing NWly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>44</w:t>
        <w:tab/>
        <w:t>-</w:t>
        <w:tab/>
      </w:r>
      <w:r>
        <w:rPr>
          <w:sz w:val="24"/>
          <w:szCs w:val="24"/>
          <w:u w:color="0433ff"/>
          <w:rtl w:val="0"/>
          <w:lang w:val="en-US"/>
        </w:rPr>
        <w:t xml:space="preserve">and 53 Chs. </w:t>
      </w:r>
      <w:r>
        <w:rPr>
          <w:sz w:val="24"/>
          <w:szCs w:val="24"/>
          <w:rtl w:val="0"/>
          <w:lang w:val="en-US"/>
        </w:rPr>
        <w:t>Crossed runs runing NWly</w:t>
      </w:r>
    </w:p>
    <w:p>
      <w:pPr>
        <w:pStyle w:val="Body A"/>
        <w:spacing w:after="0" w:line="276" w:lineRule="auto"/>
        <w:rPr>
          <w:outline w:val="0"/>
          <w:color w:val="0433ff"/>
          <w:sz w:val="24"/>
          <w:szCs w:val="24"/>
          <w:u w:color="0433ff"/>
          <w14:textFill>
            <w14:solidFill>
              <w14:srgbClr w14:val="0433FF"/>
            </w14:solidFill>
          </w14:textFill>
        </w:rPr>
      </w:pPr>
      <w:r>
        <w:rPr>
          <w:outline w:val="0"/>
          <w:color w:val="0433ff"/>
          <w:sz w:val="24"/>
          <w:szCs w:val="24"/>
          <w:u w:color="0433ff"/>
          <w:rtl w:val="0"/>
          <w:lang w:val="en-US"/>
          <w14:textFill>
            <w14:solidFill>
              <w14:srgbClr w14:val="0433FF"/>
            </w14:solidFill>
          </w14:textFill>
        </w:rPr>
        <w:t xml:space="preserve">53 </w:t>
        <w:tab/>
        <w:t xml:space="preserve">- </w:t>
        <w:tab/>
        <w:t>Crossed runs runing NWly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77</w:t>
        <w:tab/>
        <w:t>63</w:t>
        <w:tab/>
        <w:t xml:space="preserve">To the SE Corner of This </w:t>
      </w:r>
      <w:r>
        <w:rPr>
          <w:strike w:val="1"/>
          <w:dstrike w:val="0"/>
          <w:sz w:val="24"/>
          <w:szCs w:val="24"/>
          <w:rtl w:val="0"/>
        </w:rPr>
        <w:t>land</w:t>
      </w:r>
      <w:r>
        <w:rPr>
          <w:sz w:val="24"/>
          <w:szCs w:val="24"/>
          <w:rtl w:val="0"/>
          <w:lang w:val="en-US"/>
        </w:rPr>
        <w:t xml:space="preserve"> lot To a Hard Maple 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 xml:space="preserve">take 6 links on a </w:t>
      </w:r>
    </w:p>
    <w:p>
      <w:pPr>
        <w:pStyle w:val="Body A"/>
        <w:spacing w:after="0" w:line="276" w:lineRule="auto"/>
        <w:ind w:left="144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Course of North 3</w:t>
      </w:r>
      <w:r>
        <w:rPr>
          <w:sz w:val="24"/>
          <w:szCs w:val="24"/>
          <w:rtl w:val="0"/>
          <w:lang w:val="en-US"/>
        </w:rPr>
        <w:t>1</w:t>
      </w:r>
      <w:r>
        <w:rPr>
          <w:sz w:val="24"/>
          <w:szCs w:val="24"/>
          <w:rtl w:val="0"/>
          <w:lang w:val="en-US"/>
        </w:rPr>
        <w:t>·</w:t>
      </w:r>
      <w:r>
        <w:rPr>
          <w:sz w:val="24"/>
          <w:szCs w:val="24"/>
          <w:rtl w:val="0"/>
          <w:lang w:val="en-US"/>
        </w:rPr>
        <w:t xml:space="preserve">/4 East from a white Oak Tree Marked </w:t>
      </w:r>
      <w:r>
        <w:rPr>
          <w:sz w:val="24"/>
          <w:szCs w:val="24"/>
          <w:rtl w:val="0"/>
          <w:lang w:val="en-US"/>
        </w:rPr>
        <w:t xml:space="preserve">on the NW 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>ide</w:t>
      </w:r>
      <w:r>
        <w:rPr>
          <w:sz w:val="24"/>
          <w:szCs w:val="24"/>
          <w:rtl w:val="0"/>
          <w:lang w:val="en-US"/>
        </w:rPr>
        <w:t xml:space="preserve"> No. </w:t>
      </w:r>
      <w:r>
        <w:rPr>
          <w:sz w:val="24"/>
          <w:szCs w:val="24"/>
          <w:rtl w:val="0"/>
          <w:lang w:val="en-US"/>
        </w:rPr>
        <w:t>56 on the NE side No. 57 on the SE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No. 67 </w:t>
      </w:r>
      <w:r>
        <w:rPr>
          <w:sz w:val="24"/>
          <w:szCs w:val="24"/>
          <w:rtl w:val="0"/>
          <w:lang w:val="en-US"/>
        </w:rPr>
        <w:t>on the SW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</w:rPr>
        <w:t>d No. 66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South Bounds of lot No. 56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SW Corner described in p. 55 [50]</w:t>
      </w:r>
      <w:r>
        <w:rPr>
          <w:sz w:val="24"/>
          <w:szCs w:val="24"/>
          <w:rtl w:val="0"/>
          <w:lang w:val="pt-PT"/>
        </w:rPr>
        <w:t xml:space="preserve"> [55</w:t>
      </w:r>
      <w:r>
        <w:rPr>
          <w:sz w:val="24"/>
          <w:szCs w:val="24"/>
          <w:rtl w:val="0"/>
          <w:lang w:val="en-US"/>
        </w:rPr>
        <w:t>SE] from Thence Due Magnetic East along the North bounds of lot No. 66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17</w:t>
        <w:tab/>
        <w:t>-</w:t>
        <w:tab/>
        <w:t>To the West bank of Culps Brook and Through Oak woods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18</w:t>
        <w:tab/>
        <w:t>-</w:t>
        <w:tab/>
        <w:t>Crossed said Brook runing NWly and Entered land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all kind of timber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20</w:t>
        <w:tab/>
        <w:t>-</w:t>
        <w:tab/>
        <w:t>On the East bank of Culps Brook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79</w:t>
        <w:tab/>
        <w:t>82</w:t>
        <w:tab/>
        <w:t>To the S.E.Corner of This lot described in This Page last above [56SE]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West bounds of lot No. 56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East bounds of lot No. 55 In p. 50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57</w:t>
        <w:tab/>
        <w:tab/>
        <w:tab/>
        <w:t>Field book of the North bounds of lot No. 57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lot No. 47 p. 43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East bounds of lot No. 57</w:t>
      </w:r>
    </w:p>
    <w:p>
      <w:pPr>
        <w:pStyle w:val="Body A"/>
        <w:spacing w:after="0" w:line="276" w:lineRule="auto"/>
      </w:pPr>
      <w:r>
        <w:rPr>
          <w:sz w:val="24"/>
          <w:szCs w:val="24"/>
          <w:rtl w:val="0"/>
          <w:lang w:val="en-US"/>
        </w:rPr>
        <w:t>Begining at the SE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at an Iron wood Stake 19 links on a Course of South 37 W from a linden Tree Marked on the NW side No. 57 on the NE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58 on the SW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67 on the S.E.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68 Thence Due Magnetic North</w:t>
      </w:r>
    </w:p>
    <w:sectPr>
      <w:headerReference w:type="default" r:id="rId4"/>
      <w:footerReference w:type="default" r:id="rId5"/>
      <w:pgSz w:w="12240" w:h="15840" w:orient="portrait"/>
      <w:pgMar w:top="540" w:right="1440" w:bottom="108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