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76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58</w:t>
      </w:r>
    </w:p>
    <w:p>
      <w:pPr>
        <w:pStyle w:val="Body A"/>
        <w:spacing w:after="0" w:line="276" w:lineRule="auto"/>
        <w:jc w:val="center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Lot No. 65</w:t>
        <w:tab/>
        <w:tab/>
        <w:tab/>
        <w:t>Field book of the North bounds of lot No. 65</w:t>
      </w:r>
    </w:p>
    <w:p>
      <w:pPr>
        <w:pStyle w:val="Body A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See the Field book of the South bounds of lot No. 55 In p. 50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East bounds of lot No. 65</w:t>
      </w:r>
    </w:p>
    <w:p>
      <w:pPr>
        <w:pStyle w:val="Body A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Begining at the SE Corner of said lot at a white ash Stake Standing Two links N.E. from a white Oak Tree Marked on the NW side No. 65 on the SW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78 on the N.E.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66 on the SE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79 from Thence Due Magnetic North along the West bounds of lot No. 66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27</w:t>
        <w:tab/>
        <w:t>-</w:t>
        <w:tab/>
        <w:t>And 41 Chs Crossed Brooks runing SWly</w:t>
      </w:r>
    </w:p>
    <w:p>
      <w:pPr>
        <w:pStyle w:val="Body A"/>
        <w:spacing w:after="0" w:line="276" w:lineRule="auto"/>
        <w:rPr>
          <w:outline w:val="0"/>
          <w:color w:val="0433ff"/>
          <w:sz w:val="24"/>
          <w:szCs w:val="24"/>
          <w:u w:color="0433ff"/>
          <w:lang w:val="en-US"/>
          <w14:textFill>
            <w14:solidFill>
              <w14:srgbClr w14:val="0433FF"/>
            </w14:solidFill>
          </w14:textFill>
        </w:rPr>
      </w:pPr>
      <w:r>
        <w:rPr>
          <w:outline w:val="0"/>
          <w:color w:val="0433ff"/>
          <w:sz w:val="24"/>
          <w:szCs w:val="24"/>
          <w:u w:color="0433ff"/>
          <w:rtl w:val="0"/>
          <w:lang w:val="en-US"/>
          <w14:textFill>
            <w14:solidFill>
              <w14:srgbClr w14:val="0433FF"/>
            </w14:solidFill>
          </w14:textFill>
        </w:rPr>
        <w:t>41</w:t>
        <w:tab/>
        <w:t>-</w:t>
        <w:tab/>
        <w:t>Crossed Brooks runing SWly</w:t>
      </w:r>
    </w:p>
    <w:p>
      <w:pPr>
        <w:pStyle w:val="Body A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77</w:t>
        <w:tab/>
        <w:t>31</w:t>
        <w:tab/>
        <w:t xml:space="preserve">To the N.E. Corner of this lot described In p. 50 [55SE] The land this line </w:t>
      </w:r>
    </w:p>
    <w:p>
      <w:pPr>
        <w:pStyle w:val="Body A"/>
        <w:spacing w:after="0" w:line="276" w:lineRule="auto"/>
        <w:ind w:left="1440" w:firstLine="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Passes through is good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with black and white Oak and Some hickry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South bounds of lot No. 65</w:t>
      </w:r>
    </w:p>
    <w:p>
      <w:pPr>
        <w:pStyle w:val="Body A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Begining at the SE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lot described In this p. above [65SE] from thence along the North bounds of lot No. 78-Due Magnetic West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2</w:t>
        <w:tab/>
        <w:t>-</w:t>
        <w:tab/>
        <w:t>Out of a Small Swamp of 8 Chs wide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with Soft Maple</w:t>
      </w:r>
    </w:p>
    <w:p>
      <w:pPr>
        <w:pStyle w:val="Body A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49</w:t>
        <w:tab/>
        <w:t>-</w:t>
        <w:tab/>
        <w:t>Out of land timbered with all kind of timber and entered land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</w:t>
      </w:r>
    </w:p>
    <w:p>
      <w:pPr>
        <w:pStyle w:val="Body A"/>
        <w:spacing w:after="0" w:line="276" w:lineRule="auto"/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with black and white Oak Soil Poor and stony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79</w:t>
        <w:tab/>
        <w:t>90</w:t>
        <w:tab/>
        <w:t xml:space="preserve">To the SW Corner of this lot to a Black oak Stake Standing 43 L on a Course of </w:t>
        <w:tab/>
        <w:tab/>
        <w:tab/>
        <w:tab/>
        <w:t>South 47 West from a Black Oak Tree Marked on the NE side No. 55</w:t>
      </w:r>
      <w:r>
        <w:rPr>
          <w:sz w:val="24"/>
          <w:szCs w:val="24"/>
          <w:rtl w:val="0"/>
          <w:lang w:val="en-US"/>
        </w:rPr>
        <w:t xml:space="preserve"> [65]</w:t>
      </w:r>
      <w:r>
        <w:rPr>
          <w:sz w:val="24"/>
          <w:szCs w:val="24"/>
          <w:rtl w:val="0"/>
          <w:lang w:val="en-US"/>
        </w:rPr>
        <w:t xml:space="preserve"> on the </w:t>
      </w:r>
      <w:r>
        <w:rPr>
          <w:sz w:val="24"/>
          <w:szCs w:val="24"/>
          <w:lang w:val="en-US"/>
        </w:rPr>
        <w:tab/>
        <w:tab/>
        <w:tab/>
        <w:tab/>
      </w:r>
      <w:r>
        <w:rPr>
          <w:sz w:val="24"/>
          <w:szCs w:val="24"/>
          <w:rtl w:val="0"/>
          <w:lang w:val="en-US"/>
        </w:rPr>
        <w:t xml:space="preserve">SE </w:t>
      </w:r>
      <w:r>
        <w:rPr>
          <w:strike w:val="1"/>
          <w:dstrike w:val="0"/>
          <w:sz w:val="24"/>
          <w:szCs w:val="24"/>
          <w:rtl w:val="0"/>
          <w:lang w:val="en-US"/>
        </w:rPr>
        <w:t>on the</w:t>
      </w:r>
      <w:r>
        <w:rPr>
          <w:sz w:val="24"/>
          <w:szCs w:val="24"/>
          <w:rtl w:val="0"/>
          <w:lang w:val="ru-RU"/>
        </w:rPr>
        <w:t xml:space="preserve">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pt-PT"/>
        </w:rPr>
        <w:t>d No. 6</w:t>
      </w:r>
      <w:r>
        <w:rPr>
          <w:sz w:val="24"/>
          <w:szCs w:val="24"/>
          <w:rtl w:val="0"/>
          <w:lang w:val="en-US"/>
        </w:rPr>
        <w:t>5 [78]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West bounds of lot No. 65</w:t>
      </w:r>
    </w:p>
    <w:p>
      <w:pPr>
        <w:pStyle w:val="Body A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Begining at the N.W.Corner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lot described In p.50 [55SW] from Thence Due Magnetic South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10</w:t>
        <w:tab/>
        <w:t>-</w:t>
        <w:tab/>
        <w:t>Crossed a run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30</w:t>
        <w:tab/>
        <w:t>-</w:t>
        <w:tab/>
      </w:r>
      <w:r>
        <w:rPr>
          <w:sz w:val="24"/>
          <w:szCs w:val="24"/>
          <w:rtl w:val="0"/>
          <w:lang w:val="en-US"/>
        </w:rPr>
        <w:t>D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o  [Crossed a run]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57</w:t>
        <w:tab/>
        <w:t>-</w:t>
        <w:tab/>
      </w:r>
      <w:r>
        <w:rPr>
          <w:sz w:val="24"/>
          <w:szCs w:val="24"/>
          <w:rtl w:val="0"/>
          <w:lang w:val="en-US"/>
        </w:rPr>
        <w:t>D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o  [Crossed a run] and begin </w:t>
      </w:r>
      <w:r>
        <w:rPr>
          <w:strike w:val="1"/>
          <w:dstrike w:val="0"/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 xml:space="preserve"> to assend a Chistnut Ridge</w:t>
      </w:r>
    </w:p>
    <w:p>
      <w:pPr>
        <w:pStyle w:val="Body A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78</w:t>
        <w:tab/>
        <w:t>-</w:t>
        <w:tab/>
        <w:t xml:space="preserve">To the SW Corner of this lot described In this p. last above [65SW] The land </w:t>
      </w:r>
    </w:p>
    <w:p>
      <w:pPr>
        <w:pStyle w:val="Body A"/>
        <w:spacing w:after="0" w:line="276" w:lineRule="auto"/>
        <w:ind w:left="1440" w:firstLine="0"/>
      </w:pPr>
      <w:r>
        <w:rPr>
          <w:sz w:val="24"/>
          <w:szCs w:val="24"/>
          <w:rtl w:val="0"/>
          <w:lang w:val="en-US"/>
        </w:rPr>
        <w:t>this line Passes through to where it Begins to assend the Chistnut Ridge is good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with black and white Oak Hickry some Hard Maple and Lin</w:t>
      </w:r>
    </w:p>
    <w:sectPr>
      <w:headerReference w:type="default" r:id="rId4"/>
      <w:footerReference w:type="default" r:id="rId5"/>
      <w:pgSz w:w="12240" w:h="15840" w:orient="portrait"/>
      <w:pgMar w:top="540" w:right="1440" w:bottom="45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