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</w:pPr>
      <w:r>
        <w:rPr>
          <w:rtl w:val="0"/>
          <w:lang w:val="en-US"/>
        </w:rPr>
        <w:t xml:space="preserve"> 71</w:t>
      </w: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79  </w:t>
        <w:tab/>
        <w:tab/>
        <w:t xml:space="preserve">      Field book of the North bounds of lot No. 79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66 In p. 59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79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N.E.Corner of said lot described in p. 59 [66SE] from Thence Due Magnetic South along the West bounds of lot No. 80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 xml:space="preserve">       </w:t>
      </w:r>
      <w:r>
        <w:rPr>
          <w:sz w:val="24"/>
          <w:szCs w:val="24"/>
          <w:rtl w:val="0"/>
          <w:lang w:val="fr-FR"/>
        </w:rPr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Chs 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  <w:tab/>
        <w:t xml:space="preserve">- </w:t>
        <w:tab/>
        <w:t>Of the West side of a Chisnut ridge and Entered Oak woods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27</w:t>
        <w:tab/>
        <w:t>-</w:t>
        <w:tab/>
        <w:t>Crossed a Brook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74</w:t>
        <w:tab/>
        <w:t xml:space="preserve">- </w:t>
        <w:tab/>
        <w:t>Crossed a run runing NWly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77         52 </w:t>
        <w:tab/>
        <w:t>To the S.E. Corner of this lot to a Stake 11 L on a Course of South 59 East from a white Oak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</w:t>
      </w:r>
      <w:r>
        <w:rPr>
          <w:sz w:val="24"/>
          <w:szCs w:val="24"/>
          <w:rtl w:val="0"/>
          <w:lang w:val="en-US"/>
        </w:rPr>
        <w:t>79</w:t>
      </w:r>
      <w:r>
        <w:rPr>
          <w:sz w:val="24"/>
          <w:szCs w:val="24"/>
          <w:rtl w:val="0"/>
          <w:lang w:val="en-US"/>
        </w:rPr>
        <w:t xml:space="preserve"> on the </w:t>
      </w:r>
      <w:r>
        <w:rPr>
          <w:sz w:val="24"/>
          <w:szCs w:val="24"/>
          <w:rtl w:val="0"/>
          <w:lang w:val="en-US"/>
        </w:rPr>
        <w:t>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80 </w:t>
      </w:r>
      <w:r>
        <w:rPr>
          <w:sz w:val="24"/>
          <w:szCs w:val="24"/>
          <w:rtl w:val="0"/>
          <w:lang w:val="en-US"/>
        </w:rPr>
        <w:t>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92 on the SW s'd No. 91 The land This line Passes through is Midling good Timbered with all kinds of Timber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79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S.W. Corner of said lot described In p. 70 [78SE] from Thence Due Magnetic East along the North bounds of lot No. 91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  <w:tab/>
        <w:t>-</w:t>
        <w:tab/>
        <w:t>Crossed a Brook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</w:t>
        <w:tab/>
        <w:t>-</w:t>
        <w:tab/>
        <w:t>Out of a Swamp and at the begining of an assend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56</w:t>
        <w:tab/>
        <w:t>-</w:t>
        <w:tab/>
        <w:t>A Brook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27</w:t>
        <w:tab/>
        <w:t xml:space="preserve">To the S.E. Corner of this lot described In this page above [79SE] The land This </w:t>
        <w:tab/>
        <w:tab/>
        <w:tab/>
        <w:tab/>
        <w:t>line Passes through is Poor and Cold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 of Timber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79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78 In page 70 - -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80 </w:t>
        <w:tab/>
        <w:tab/>
        <w:tab/>
        <w:t>Field book of the North bounds of lot No. 80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See the Field book of the South bounds of lot No. 67 In p. 60.</w:t>
      </w:r>
    </w:p>
    <w:sectPr>
      <w:headerReference w:type="default" r:id="rId4"/>
      <w:footerReference w:type="default" r:id="rId5"/>
      <w:pgSz w:w="12240" w:h="15840" w:orient="portrait"/>
      <w:pgMar w:top="90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