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b/>
          <w:color w:val="B85C74"/>
          <w:sz w:val="20"/>
        </w:rPr>
        <w:t>HAIR RAP BY YOYO PVT. LTD.</w:t>
      </w:r>
    </w:p>
    <w:p>
      <w:pPr>
        <w:pStyle w:val="Title"/>
        <w:jc w:val="center"/>
      </w:pPr>
      <w:r>
        <w:rPr>
          <w:b/>
        </w:rPr>
        <w:t>Phase 1 Environment, Deployment &amp; Go-Live Specification</w:t>
      </w:r>
    </w:p>
    <w:p>
      <w:pPr>
        <w:jc w:val="center"/>
      </w:pPr>
      <w:r>
        <w:rPr>
          <w:color w:val="6B7280"/>
          <w:sz w:val="26"/>
        </w:rPr>
        <w:t>Development Ready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F7EE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Products</w:t>
              <w:br/>
            </w:r>
            <w:r>
              <w:rPr>
                <w:b/>
                <w:color w:val="1F2937"/>
                <w:sz w:val="17"/>
              </w:rPr>
              <w:t>Admin • Artist • Client</w:t>
            </w:r>
          </w:p>
        </w:tc>
        <w:tc>
          <w:tcPr>
            <w:tcW w:type="dxa" w:w="2592"/>
            <w:shd w:fill="F7EE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Backend</w:t>
              <w:br/>
            </w:r>
            <w:r>
              <w:rPr>
                <w:b/>
                <w:color w:val="1F2937"/>
                <w:sz w:val="17"/>
              </w:rPr>
              <w:t>Shared Phase 1 API</w:t>
            </w:r>
          </w:p>
        </w:tc>
        <w:tc>
          <w:tcPr>
            <w:tcW w:type="dxa" w:w="2592"/>
            <w:shd w:fill="F7EE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Database</w:t>
              <w:br/>
            </w:r>
            <w:r>
              <w:rPr>
                <w:b/>
                <w:color w:val="1F2937"/>
                <w:sz w:val="17"/>
              </w:rPr>
              <w:t>PostgreSQL • ERD v2.2</w:t>
            </w:r>
          </w:p>
        </w:tc>
        <w:tc>
          <w:tcPr>
            <w:tcW w:type="dxa" w:w="2592"/>
            <w:shd w:fill="F7EE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Release type</w:t>
              <w:br/>
            </w:r>
            <w:r>
              <w:rPr>
                <w:b/>
                <w:color w:val="1F2937"/>
                <w:sz w:val="17"/>
              </w:rPr>
              <w:t>New-system launch</w:t>
            </w:r>
          </w:p>
        </w:tc>
      </w:tr>
      <w:tr>
        <w:trPr>
          <w:cantSplit/>
        </w:trPr>
        <w:tc>
          <w:tcPr>
            <w:tcW w:type="dxa" w:w="2592"/>
            <w:shd w:fill="F8F8F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Migration</w:t>
              <w:br/>
            </w:r>
            <w:r>
              <w:rPr>
                <w:b/>
                <w:color w:val="1F2937"/>
                <w:sz w:val="17"/>
              </w:rPr>
              <w:t>No legacy data migration</w:t>
            </w:r>
          </w:p>
        </w:tc>
        <w:tc>
          <w:tcPr>
            <w:tcW w:type="dxa" w:w="2592"/>
            <w:shd w:fill="F8F8F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Quality gate</w:t>
              <w:br/>
            </w:r>
            <w:r>
              <w:rPr>
                <w:b/>
                <w:color w:val="1F2937"/>
                <w:sz w:val="17"/>
              </w:rPr>
              <w:t>UAT + smoke + rollback</w:t>
            </w:r>
          </w:p>
        </w:tc>
        <w:tc>
          <w:tcPr>
            <w:tcW w:type="dxa" w:w="2592"/>
            <w:shd w:fill="F8F8F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Phase 2</w:t>
              <w:br/>
            </w:r>
            <w:r>
              <w:rPr>
                <w:b/>
                <w:color w:val="1F2937"/>
                <w:sz w:val="17"/>
              </w:rPr>
              <w:t>Must remain excluded</w:t>
            </w:r>
          </w:p>
        </w:tc>
        <w:tc>
          <w:tcPr>
            <w:tcW w:type="dxa" w:w="2592"/>
            <w:shd w:fill="F8F8F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6B7280"/>
                <w:sz w:val="14"/>
              </w:rPr>
              <w:t>Date</w:t>
              <w:br/>
            </w:r>
            <w:r>
              <w:rPr>
                <w:b/>
                <w:color w:val="1F2937"/>
                <w:sz w:val="17"/>
              </w:rPr>
              <w:t>20 August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F29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GO-LIVE PRINCIPLE</w:t>
            </w:r>
          </w:p>
        </w:tc>
      </w:tr>
    </w:tbl>
    <w:p>
      <w:pPr>
        <w:jc w:val="center"/>
      </w:pPr>
      <w:r>
        <w:rPr>
          <w:b/>
          <w:sz w:val="20"/>
        </w:rPr>
        <w:t>Phase 1 goes live only after the same release candidate passes staging UAT, deployment rehearsal, production configuration checks, rollback readiness and post-deploy smoke verification.</w:t>
      </w:r>
    </w:p>
    <w:p>
      <w:r>
        <w:br w:type="page"/>
      </w:r>
    </w:p>
    <w:p>
      <w:pPr>
        <w:pStyle w:val="Heading1"/>
      </w:pPr>
      <w:r>
        <w:t>1. 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Environment</w:t>
            </w:r>
          </w:p>
        </w:tc>
        <w:tc>
          <w:tcPr>
            <w:tcW w:type="dxa" w:w="207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Data</w:t>
            </w:r>
          </w:p>
        </w:tc>
        <w:tc>
          <w:tcPr>
            <w:tcW w:type="dxa" w:w="207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External integrations</w:t>
            </w:r>
          </w:p>
        </w:tc>
        <w:tc>
          <w:tcPr>
            <w:tcW w:type="dxa" w:w="207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Local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Developer coding/unit testing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Synthetic/dev-only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Mocks/sandbox where possible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No production secrets or production PII.</w:t>
            </w:r>
          </w:p>
        </w:tc>
      </w:tr>
      <w:tr>
        <w:trPr>
          <w:cantSplit/>
        </w:trPr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Development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Shared integration branch/backend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Non-production seed data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Sandbox/test integrations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Fast integration; may be reset.</w:t>
            </w:r>
          </w:p>
        </w:tc>
      </w:tr>
      <w:tr>
        <w:trPr>
          <w:cantSplit/>
        </w:trPr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Staging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UAT + release candidate rehearsal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Production-like seeded data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Razorpay test/sandbox; notification test channels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mirror production structure/config shape.</w:t>
            </w:r>
          </w:p>
        </w:tc>
      </w:tr>
      <w:tr>
        <w:trPr>
          <w:cantSplit/>
        </w:trPr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Production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Real salon operations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Real operational data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approved providers</w:t>
            </w:r>
          </w:p>
        </w:tc>
        <w:tc>
          <w:tcPr>
            <w:tcW w:type="dxa" w:w="207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Only signed-off release candidate.</w:t>
            </w:r>
          </w:p>
        </w:tc>
      </w:tr>
    </w:tbl>
    <w:p>
      <w:pPr>
        <w:pStyle w:val="Heading2"/>
      </w:pPr>
      <w:r>
        <w:t>1.1 Environment separation</w:t>
      </w:r>
    </w:p>
    <w:p>
      <w:pPr>
        <w:pStyle w:val="ListBullet"/>
        <w:spacing w:after="30"/>
      </w:pPr>
      <w:r>
        <w:t>Separate database/projects or securely isolated schemas/configuration must prevent staging and production data mixing.</w:t>
      </w:r>
    </w:p>
    <w:p>
      <w:pPr>
        <w:pStyle w:val="ListBullet"/>
        <w:spacing w:after="30"/>
      </w:pPr>
      <w:r>
        <w:t>Production credentials, webhook secrets, OTP/provider keys and database credentials must never be copied into source code or agent prompts.</w:t>
      </w:r>
    </w:p>
    <w:p>
      <w:pPr>
        <w:pStyle w:val="ListBullet"/>
        <w:spacing w:after="30"/>
      </w:pPr>
      <w:r>
        <w:t>Phase 2 tables, flags, routes and scheduled jobs must not be enabled in the Phase 1 production release.</w:t>
      </w:r>
    </w:p>
    <w:p>
      <w:pPr>
        <w:pStyle w:val="Heading1"/>
      </w:pPr>
      <w:r>
        <w:t>2. Environment Variables &amp;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Production rule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Database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DB URL / service credentials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Developer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Production-only secret store; least privilege.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Authentication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OTP/session/auth secrets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Developer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Never logged or exposed to client apps.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Razorpay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Key ID, secret, webhook secret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Developer + authorized business owner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Live keys entered only after UAT on test mode.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Notifications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WhatsApp/Meta, SMS, in-app config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Developer / Product Owner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Provider/channel verification before launch.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Frontend/Admin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Public API base URL, approved public config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Frontend Developer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 server secrets in client bundle.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Mobile Apps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API base URL, public app config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App Developer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 provider/private keys in app package.</w:t>
            </w:r>
          </w:p>
        </w:tc>
      </w:tr>
    </w:tbl>
    <w:p>
      <w:pPr>
        <w:pStyle w:val="ListBullet"/>
        <w:spacing w:after="30"/>
      </w:pPr>
      <w:r>
        <w:t>Vercel/mobile/build-system secrets are environment-specific and write-only where supported.</w:t>
      </w:r>
    </w:p>
    <w:p>
      <w:pPr>
        <w:pStyle w:val="ListBullet"/>
        <w:spacing w:after="30"/>
      </w:pPr>
      <w:r>
        <w:t>A release evidence record must identify which required secrets are configured without recording the secret values.</w:t>
      </w:r>
    </w:p>
    <w:p>
      <w:r>
        <w:br w:type="page"/>
      </w:r>
    </w:p>
    <w:p>
      <w:pPr>
        <w:pStyle w:val="Heading1"/>
      </w:pPr>
      <w:r>
        <w:t>3. Database, Schema &amp; Seed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Phase 1 rule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Schema baseline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Revised ERD v2.2 is authoritative.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Migration approach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Versioned, reviewable migrations only. No ad-hoc production DDL from app runtime.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Legacy migration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None. Phase 1 is a new-system launch.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Reference seed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Staff bootstrap, artist roster, service/product catalogue, membership tiers and required configuration.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Operational data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Created organically after launch unless explicitly approved for seed/import.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Phase 2 schema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Do not deploy Phase 2 assets/payroll/leave/cafe/etc. tables/jobs accidentally.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Rollback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Schema change must be backward-safe or have tested restore/rollback procedure.</w:t>
            </w:r>
          </w:p>
        </w:tc>
      </w:tr>
    </w:tbl>
    <w:p>
      <w:pPr>
        <w:pStyle w:val="Heading2"/>
      </w:pPr>
      <w:r>
        <w:t>3.1 Production seed order</w:t>
      </w:r>
    </w:p>
    <w:p>
      <w:pPr>
        <w:pStyle w:val="ListBullet"/>
        <w:spacing w:after="30"/>
      </w:pPr>
      <w:r>
        <w:t>Create at least one Super Admin/bootstrap account.</w:t>
      </w:r>
    </w:p>
    <w:p>
      <w:pPr>
        <w:pStyle w:val="ListBullet"/>
        <w:spacing w:after="30"/>
      </w:pPr>
      <w:r>
        <w:t>Apply salon/business hours and booking configuration.</w:t>
      </w:r>
    </w:p>
    <w:p>
      <w:pPr>
        <w:pStyle w:val="ListBullet"/>
        <w:spacing w:after="30"/>
      </w:pPr>
      <w:r>
        <w:t>Load artist roster, eligibility, work schedules/exceptions.</w:t>
      </w:r>
    </w:p>
    <w:p>
      <w:pPr>
        <w:pStyle w:val="ListBullet"/>
        <w:spacing w:after="30"/>
      </w:pPr>
      <w:r>
        <w:t>Load verified services/categories and required_artist_count values.</w:t>
      </w:r>
    </w:p>
    <w:p>
      <w:pPr>
        <w:pStyle w:val="ListBullet"/>
        <w:spacing w:after="30"/>
      </w:pPr>
      <w:r>
        <w:t>Load products/categories/inventory opening state as approved.</w:t>
      </w:r>
    </w:p>
    <w:p>
      <w:pPr>
        <w:pStyle w:val="ListBullet"/>
        <w:spacing w:after="30"/>
      </w:pPr>
      <w:r>
        <w:t>Load the six approved membership tiers and stored-value configuration.</w:t>
      </w:r>
    </w:p>
    <w:p>
      <w:pPr>
        <w:pStyle w:val="ListBullet"/>
        <w:spacing w:after="30"/>
      </w:pPr>
      <w:r>
        <w:t>Configure tax/invoice/payment/notification settings.</w:t>
      </w:r>
    </w:p>
    <w:p>
      <w:pPr>
        <w:pStyle w:val="ListBullet"/>
        <w:spacing w:after="30"/>
      </w:pPr>
      <w:r>
        <w:t>Verify no UAT/demo clients, payments, expenses or bookings remain in production.</w:t>
      </w:r>
    </w:p>
    <w:p>
      <w:pPr>
        <w:pStyle w:val="Heading1"/>
      </w:pPr>
      <w:r>
        <w:t>4. Branching &amp; Release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Branch / Gate</w:t>
            </w:r>
          </w:p>
        </w:tc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Feature/worktree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Developer/Hermes works only on bounded task.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Integration/develop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Human-reviewed feature merges; integration tests run.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Release candidate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Frozen candidate deployed to staging for final UAT/regression.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Main/production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Only approved release candidate merges/deploys.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Hotfix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Branch from production baseline; focused fix + regression + approval.</w:t>
            </w:r>
          </w:p>
        </w:tc>
      </w:tr>
    </w:tbl>
    <w:p>
      <w:pPr>
        <w:pStyle w:val="ListBullet"/>
        <w:spacing w:after="30"/>
      </w:pPr>
      <w:r>
        <w:t>Hermes may implement/test in feature branches, but may not merge to production or redefine locked rules.</w:t>
      </w:r>
    </w:p>
    <w:p>
      <w:pPr>
        <w:pStyle w:val="ListBullet"/>
        <w:spacing w:after="30"/>
      </w:pPr>
      <w:r>
        <w:t>Any code change after final staging acceptance creates a new release candidate and requires targeted regression.</w:t>
      </w:r>
    </w:p>
    <w:p>
      <w:r>
        <w:br w:type="page"/>
      </w:r>
    </w:p>
    <w:p>
      <w:pPr>
        <w:pStyle w:val="Heading1"/>
      </w:pPr>
      <w:r>
        <w:t>5. Deployment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verification before next step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Database migrations / configuration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Schema version, constraints, seed safety, backup/restore readiness.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Shared backend/API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Health, auth, RBAC, booking, payment/webhook, session and membership smoke.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Panel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Login, calendar, assignment queue, POS, invoice/refund, expenses/settings.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Artist App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Login, appointments, consultation, readiness, session, Ready for Billing.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Client Booking App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OTP/profile, availability, hold/payment, booking, membership, support.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Scheduled jobs / callbacks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T-30 queue, hold expiry, webhook processing, notification delivery.</w:t>
            </w:r>
          </w:p>
        </w:tc>
      </w:tr>
    </w:tbl>
    <w:p>
      <w:pPr>
        <w:pStyle w:val="Heading1"/>
      </w:pPr>
      <w:r>
        <w:t>6. Pre-Deployment Checklist</w:t>
      </w:r>
    </w:p>
    <w:p>
      <w:pPr>
        <w:spacing w:after="24"/>
      </w:pPr>
      <w:r>
        <w:rPr>
          <w:b/>
        </w:rPr>
        <w:t xml:space="preserve">☐ </w:t>
      </w:r>
      <w:r>
        <w:t>Approved release commit/build IDs recorded for backend, Admin, Artist and Client.</w:t>
      </w:r>
    </w:p>
    <w:p>
      <w:pPr>
        <w:spacing w:after="24"/>
      </w:pPr>
      <w:r>
        <w:rPr>
          <w:b/>
        </w:rPr>
        <w:t xml:space="preserve">☐ </w:t>
      </w:r>
      <w:r>
        <w:t>Database backup/snapshot created and restore path verified.</w:t>
      </w:r>
    </w:p>
    <w:p>
      <w:pPr>
        <w:spacing w:after="24"/>
      </w:pPr>
      <w:r>
        <w:rPr>
          <w:b/>
        </w:rPr>
        <w:t xml:space="preserve">☐ </w:t>
      </w:r>
      <w:r>
        <w:t>Production environment variables and provider secrets configured.</w:t>
      </w:r>
    </w:p>
    <w:p>
      <w:pPr>
        <w:spacing w:after="24"/>
      </w:pPr>
      <w:r>
        <w:rPr>
          <w:b/>
        </w:rPr>
        <w:t xml:space="preserve">☐ </w:t>
      </w:r>
      <w:r>
        <w:t>Production URLs/API base URLs verified in all three clients.</w:t>
      </w:r>
    </w:p>
    <w:p>
      <w:pPr>
        <w:spacing w:after="24"/>
      </w:pPr>
      <w:r>
        <w:rPr>
          <w:b/>
        </w:rPr>
        <w:t xml:space="preserve">☐ </w:t>
      </w:r>
      <w:r>
        <w:t>Schema migration reviewed and rehearsed on staging.</w:t>
      </w:r>
    </w:p>
    <w:p>
      <w:pPr>
        <w:spacing w:after="24"/>
      </w:pPr>
      <w:r>
        <w:rPr>
          <w:b/>
        </w:rPr>
        <w:t xml:space="preserve">☐ </w:t>
      </w:r>
      <w:r>
        <w:t>Phase 1 seed/config checklist complete.</w:t>
      </w:r>
    </w:p>
    <w:p>
      <w:pPr>
        <w:spacing w:after="24"/>
      </w:pPr>
      <w:r>
        <w:rPr>
          <w:b/>
        </w:rPr>
        <w:t xml:space="preserve">☐ </w:t>
      </w:r>
      <w:r>
        <w:t>Razorpay live account/webhook endpoint/signature configuration ready.</w:t>
      </w:r>
    </w:p>
    <w:p>
      <w:pPr>
        <w:spacing w:after="24"/>
      </w:pPr>
      <w:r>
        <w:rPr>
          <w:b/>
        </w:rPr>
        <w:t xml:space="preserve">☐ </w:t>
      </w:r>
      <w:r>
        <w:t>WhatsApp/SMS/in-app notification configuration verified.</w:t>
      </w:r>
    </w:p>
    <w:p>
      <w:pPr>
        <w:spacing w:after="24"/>
      </w:pPr>
      <w:r>
        <w:rPr>
          <w:b/>
        </w:rPr>
        <w:t xml:space="preserve">☐ </w:t>
      </w:r>
      <w:r>
        <w:t>All P0 UAT cases pass; no open stop-ship defect.</w:t>
      </w:r>
    </w:p>
    <w:p>
      <w:pPr>
        <w:spacing w:after="24"/>
      </w:pPr>
      <w:r>
        <w:rPr>
          <w:b/>
        </w:rPr>
        <w:t xml:space="preserve">☐ </w:t>
      </w:r>
      <w:r>
        <w:t>UI Correction List P0/P1 items complete or explicitly accepted.</w:t>
      </w:r>
    </w:p>
    <w:p>
      <w:pPr>
        <w:spacing w:after="24"/>
      </w:pPr>
      <w:r>
        <w:rPr>
          <w:b/>
        </w:rPr>
        <w:t xml:space="preserve">☐ </w:t>
      </w:r>
      <w:r>
        <w:t>Phase 2 routes/jobs/features disabled/not deployed.</w:t>
      </w:r>
    </w:p>
    <w:p>
      <w:pPr>
        <w:spacing w:after="24"/>
      </w:pPr>
      <w:r>
        <w:rPr>
          <w:b/>
        </w:rPr>
        <w:t xml:space="preserve">☐ </w:t>
      </w:r>
      <w:r>
        <w:t>Rollback owner and rollback trigger criteria confirmed.</w:t>
      </w:r>
    </w:p>
    <w:p>
      <w:r>
        <w:br w:type="page"/>
      </w:r>
    </w:p>
    <w:p>
      <w:pPr>
        <w:pStyle w:val="Heading1"/>
      </w:pPr>
      <w:r>
        <w:t>7. Production Smoke Test — Mandatory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Smoke test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SMK-01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Staff login as Receptionist/Admin/Super Admin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Correct roles and denied actions enforced.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SMK-02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Client OTP/profile read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Client authenticates and accesses own profile only.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SMK-03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Artist login/assigned appointment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Artist sees only assigned context.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SMK-04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booking quote + 8-minute hold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Real availability returned; hold TTL correct.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SMK-05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Controlled payment path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Payment status/webhook flow works without duplicate effects.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SMK-06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Manual Auto Assign assignment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can assign; Receptionist cannot; Artist sees assignment.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SMK-07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Check-in + consultation + Start guard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All required gates enforced.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SMK-08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Ready for Billing → POS → close invoice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Shared state flows end to end.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SMK-09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Membership read/debit controlled test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Ledger/balance updates exactly once.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SMK-10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Support/notification controlled event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Correct recipient/channel state recorded.</w:t>
            </w:r>
          </w:p>
        </w:tc>
      </w:tr>
    </w:tbl>
    <w:p>
      <w:pPr>
        <w:pStyle w:val="Heading2"/>
      </w:pPr>
      <w:r>
        <w:t>7.1 Payment &amp; webhook verification</w:t>
      </w:r>
    </w:p>
    <w:p>
      <w:pPr>
        <w:pStyle w:val="ListBullet"/>
        <w:spacing w:after="30"/>
      </w:pPr>
      <w:r>
        <w:t>Provider webhook URL is live and signature validation succeeds.</w:t>
      </w:r>
    </w:p>
    <w:p>
      <w:pPr>
        <w:pStyle w:val="ListBullet"/>
        <w:spacing w:after="30"/>
      </w:pPr>
      <w:r>
        <w:t>Duplicate provider event is idempotent.</w:t>
      </w:r>
    </w:p>
    <w:p>
      <w:pPr>
        <w:pStyle w:val="ListBullet"/>
        <w:spacing w:after="30"/>
      </w:pPr>
      <w:r>
        <w:t>Client callback alone cannot falsely mark a payment successful.</w:t>
      </w:r>
    </w:p>
    <w:p>
      <w:pPr>
        <w:pStyle w:val="ListBullet"/>
        <w:spacing w:after="30"/>
      </w:pPr>
      <w:r>
        <w:t>Late capture/reconciliation path remains available without inventing a booking.</w:t>
      </w:r>
    </w:p>
    <w:p>
      <w:pPr>
        <w:pStyle w:val="ListBullet"/>
        <w:spacing w:after="30"/>
      </w:pPr>
      <w:r>
        <w:t>Cash final settlement is recorded as Cash with no fake provider reference.</w:t>
      </w:r>
    </w:p>
    <w:p>
      <w:pPr>
        <w:pStyle w:val="Heading1"/>
      </w:pPr>
      <w:r>
        <w:t>8. Monitoring, Logs &amp;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Monitor</w:t>
            </w:r>
          </w:p>
        </w:tc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Minimum production signal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API health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Availability, 5xx rate, latency, critical route failures.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Authentication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Lockouts, suspicious repeated failures, session errors.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Booking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Hold expiry failures, double-booking/conflict exceptions, assignment exceptions.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Payments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Webhook failures, pending/reconciliation cases, refund failures.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Sessions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Start guard failures, stuck active sessions, Ready-for-Billing errors.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Notifications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failures and undelivered critical booking/artist-unavailable messages.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Data/audit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Privileged financial/security actions have actor/time/reason evidence.</w:t>
            </w:r>
          </w:p>
        </w:tc>
      </w:tr>
    </w:tbl>
    <w:p>
      <w:pPr>
        <w:pStyle w:val="ListBullet"/>
        <w:spacing w:after="30"/>
      </w:pPr>
      <w:r>
        <w:t>Production logs must not expose SQL, secrets, OTPs, raw provider credentials or unnecessary PII.</w:t>
      </w:r>
    </w:p>
    <w:p>
      <w:r>
        <w:br w:type="page"/>
      </w:r>
    </w:p>
    <w:p>
      <w:pPr>
        <w:pStyle w:val="Heading1"/>
      </w:pPr>
      <w:r>
        <w:t>9. Stop-Ship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B85C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ANY ONE OF THESE BLOCKS GO-LIVE</w:t>
            </w:r>
          </w:p>
        </w:tc>
      </w:tr>
    </w:tbl>
    <w:p>
      <w:pPr>
        <w:pStyle w:val="ListBullet"/>
        <w:spacing w:after="30"/>
      </w:pPr>
      <w:r>
        <w:t>Any confirmed double-booking or broken concurrency/resource-hold protection.</w:t>
      </w:r>
    </w:p>
    <w:p>
      <w:pPr>
        <w:pStyle w:val="ListBullet"/>
        <w:spacing w:after="30"/>
      </w:pPr>
      <w:r>
        <w:t>Wrong advance/payment/refund/membership amount or duplicate financial effect.</w:t>
      </w:r>
    </w:p>
    <w:p>
      <w:pPr>
        <w:pStyle w:val="ListBullet"/>
        <w:spacing w:after="30"/>
      </w:pPr>
      <w:r>
        <w:t>Unauthorized role can access or mutate protected data/actions.</w:t>
      </w:r>
    </w:p>
    <w:p>
      <w:pPr>
        <w:pStyle w:val="ListBullet"/>
        <w:spacing w:after="30"/>
      </w:pPr>
      <w:r>
        <w:t>Client/artist apps are connected to the wrong backend/database/environment.</w:t>
      </w:r>
    </w:p>
    <w:p>
      <w:pPr>
        <w:pStyle w:val="ListBullet"/>
        <w:spacing w:after="30"/>
      </w:pPr>
      <w:r>
        <w:t>Consultation/consent/session guards can be bypassed.</w:t>
      </w:r>
    </w:p>
    <w:p>
      <w:pPr>
        <w:pStyle w:val="ListBullet"/>
        <w:spacing w:after="30"/>
      </w:pPr>
      <w:r>
        <w:t>Closed invoices can be directly rewritten/deleted.</w:t>
      </w:r>
    </w:p>
    <w:p>
      <w:pPr>
        <w:pStyle w:val="ListBullet"/>
        <w:spacing w:after="30"/>
      </w:pPr>
      <w:r>
        <w:t>Production migration cannot be restored/rolled back safely.</w:t>
      </w:r>
    </w:p>
    <w:p>
      <w:pPr>
        <w:pStyle w:val="ListBullet"/>
        <w:spacing w:after="30"/>
      </w:pPr>
      <w:r>
        <w:t>Razorpay webhook verification is not working.</w:t>
      </w:r>
    </w:p>
    <w:p>
      <w:pPr>
        <w:pStyle w:val="ListBullet"/>
        <w:spacing w:after="30"/>
      </w:pPr>
      <w:r>
        <w:t>Critical notifications or assignment recovery cannot be surfaced.</w:t>
      </w:r>
    </w:p>
    <w:p>
      <w:pPr>
        <w:pStyle w:val="ListBullet"/>
        <w:spacing w:after="30"/>
      </w:pPr>
      <w:r>
        <w:t>Phase 2 functionality or schema is accidentally enabled in the Phase 1 launch.</w:t>
      </w:r>
    </w:p>
    <w:p>
      <w:pPr>
        <w:pStyle w:val="Heading1"/>
      </w:pPr>
      <w:r>
        <w:t>10. Rollback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5184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Frontend/mobile presentation defect only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Roll back affected client build if backend compatibility is unchanged.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Backend critical defect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Return API to last verified production version; verify DB compatibility.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Migration/data-integrity defect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Stop writes where needed; restore tested snapshot or execute approved backward migration.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Payment/webhook defect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Disable affected payment action if possible; preserve provider truth; reconcile under Admin process.</w:t>
            </w:r>
          </w:p>
        </w:tc>
      </w:tr>
      <w:tr>
        <w:trPr>
          <w:cantSplit/>
        </w:trPr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Notification provider failure</w:t>
            </w:r>
          </w:p>
        </w:tc>
        <w:tc>
          <w:tcPr>
            <w:tcW w:type="dxa" w:w="5184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Core booking truth remains authoritative; retry/alternate configured channel where approved.</w:t>
            </w:r>
          </w:p>
        </w:tc>
      </w:tr>
    </w:tbl>
    <w:p>
      <w:pPr>
        <w:pStyle w:val="ListBullet"/>
        <w:spacing w:after="30"/>
      </w:pPr>
      <w:r>
        <w:t>Rollback must never delete valid captured payment/refund/membership ledger history.</w:t>
      </w:r>
    </w:p>
    <w:p>
      <w:pPr>
        <w:pStyle w:val="ListBullet"/>
        <w:spacing w:after="30"/>
      </w:pPr>
      <w:r>
        <w:t>If payment truth and booking resource outcome diverge, preserve payment truth and use reconciliation rather than fabricating a booking.</w:t>
      </w:r>
    </w:p>
    <w:p>
      <w:pPr>
        <w:pStyle w:val="Heading1"/>
      </w:pPr>
      <w:r>
        <w:t>11. Incident Process</w:t>
      </w:r>
    </w:p>
    <w:p>
      <w:pPr>
        <w:pStyle w:val="ListBullet"/>
        <w:spacing w:after="30"/>
      </w:pPr>
      <w:r>
        <w:t>Detect and classify severity.</w:t>
      </w:r>
    </w:p>
    <w:p>
      <w:pPr>
        <w:pStyle w:val="ListBullet"/>
        <w:spacing w:after="30"/>
      </w:pPr>
      <w:r>
        <w:t>Freeze affected deployment/change path.</w:t>
      </w:r>
    </w:p>
    <w:p>
      <w:pPr>
        <w:pStyle w:val="ListBullet"/>
        <w:spacing w:after="30"/>
      </w:pPr>
      <w:r>
        <w:t>Preserve evidence: request IDs, build IDs, timestamps, affected record IDs and provider references.</w:t>
      </w:r>
    </w:p>
    <w:p>
      <w:pPr>
        <w:pStyle w:val="ListBullet"/>
        <w:spacing w:after="30"/>
      </w:pPr>
      <w:r>
        <w:t>Apply rollback or bounded hotfix.</w:t>
      </w:r>
    </w:p>
    <w:p>
      <w:pPr>
        <w:pStyle w:val="ListBullet"/>
        <w:spacing w:after="30"/>
      </w:pPr>
      <w:r>
        <w:t>Run targeted regression + critical smoke tests.</w:t>
      </w:r>
    </w:p>
    <w:p>
      <w:pPr>
        <w:pStyle w:val="ListBullet"/>
        <w:spacing w:after="30"/>
      </w:pPr>
      <w:r>
        <w:t>Business owner/BA confirms operational recovery.</w:t>
      </w:r>
    </w:p>
    <w:p>
      <w:pPr>
        <w:pStyle w:val="ListBullet"/>
        <w:spacing w:after="30"/>
      </w:pPr>
      <w:r>
        <w:t>Document root cause and prevention before normal releases resume.</w:t>
      </w:r>
    </w:p>
    <w:p>
      <w:r>
        <w:br w:type="page"/>
      </w:r>
    </w:p>
    <w:p>
      <w:pPr>
        <w:pStyle w:val="Heading1"/>
      </w:pPr>
      <w:r>
        <w:t>12. Ownership /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BA / Product</w:t>
            </w:r>
          </w:p>
        </w:tc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Backend Dev</w:t>
            </w:r>
          </w:p>
        </w:tc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Frontend Dev</w:t>
            </w:r>
          </w:p>
        </w:tc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App Dev</w:t>
            </w:r>
          </w:p>
        </w:tc>
        <w:tc>
          <w:tcPr>
            <w:tcW w:type="dxa" w:w="1728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Hermes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Scope/business rules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 decision authority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DB/API/migrations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Assist/test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Admin release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-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Assist/test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Artist/Client release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-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Assist/test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UAT coordination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Regression/evidence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Production secrets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 public config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 public config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 direct ownership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Rollback execution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 decision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 backend/data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 Admin if affected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 apps if affected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Assist only</w:t>
            </w:r>
          </w:p>
        </w:tc>
      </w:tr>
      <w:tr>
        <w:trPr>
          <w:cantSplit/>
        </w:trPr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Go-live sign-off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A/R with CEO/PO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728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No sign-off authority</w:t>
            </w:r>
          </w:p>
        </w:tc>
      </w:tr>
    </w:tbl>
    <w:p>
      <w:pPr>
        <w:pStyle w:val="Heading1"/>
      </w:pPr>
      <w:r>
        <w:t>13. Final Go-Live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3456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Scope freeze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Phase 1 scope + Change Register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Technical readiness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Build IDs, migration evidence, environment validation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Quality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RTM + UAT + regression results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Financial integrity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Payment/refund/membership/invoice smoke evidence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Security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RBAC/direct API negative checks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Operations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Seed/config, notification/provider readiness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Recovery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Backup/restore/rollback evidence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  <w:tr>
        <w:trPr>
          <w:cantSplit/>
        </w:trPr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Production smoke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All mandatory smoke cases complete</w:t>
            </w:r>
          </w:p>
        </w:tc>
        <w:tc>
          <w:tcPr>
            <w:tcW w:type="dxa" w:w="3456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PASS / HOLD</w:t>
            </w:r>
          </w:p>
        </w:tc>
      </w:tr>
    </w:tbl>
    <w:p/>
    <w:p>
      <w:pPr>
        <w:jc w:val="center"/>
      </w:pPr>
      <w:r>
        <w:rPr>
          <w:b/>
          <w:color w:val="1F2937"/>
          <w:sz w:val="22"/>
        </w:rPr>
        <w:t>GO-LIVE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592"/>
            <w:shd w:fill="1F293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Date / Signature</w:t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Product Owner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/ Hold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CEO / Sponsor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/ Hold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Business Analyst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Vishvjit Shingal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Readiness confirmed / issues listed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Backend Lead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Technical ready / hold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Frontend Lead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ready / hold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shd w:fill="F7EEF1"/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App Developer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Artist + Client ready / hold</w:t>
            </w:r>
          </w:p>
        </w:tc>
        <w:tc>
          <w:tcPr>
            <w:tcW w:type="dxa" w:w="2592"/>
            <w:tcMar>
              <w:top w:w="38" w:type="dxa"/>
              <w:start w:w="45" w:type="dxa"/>
              <w:bottom w:w="38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2026-08-21 Current Phase 1 Alignment</w:t>
      </w:r>
    </w:p>
    <w:p>
      <w:r>
        <w:rPr>
          <w:b/>
        </w:rPr>
        <w:t>Status: CURRENT IMPLEMENTATION AUTHORITY</w:t>
      </w:r>
    </w:p>
    <w:p>
      <w:r>
        <w:t>This section records approved Phase 1 rules and enhancements as of 21 August 2026. Any earlier wording elsewhere in this document that conflicts with this section is superseded and must not be implemented.</w:t>
      </w:r>
    </w:p>
    <w:p>
      <w:r>
        <w:rPr>
          <w:b/>
        </w:rPr>
        <w:t xml:space="preserve">• </w:t>
      </w:r>
      <w:r>
        <w:t>Architecture: Admin Panel, Artist App and Client Booking App use one shared backend/API and one PostgreSQL source of truth. Phase 1 is single-branch.</w:t>
      </w:r>
    </w:p>
    <w:p>
      <w:r>
        <w:rPr>
          <w:b/>
        </w:rPr>
        <w:t xml:space="preserve">• </w:t>
      </w:r>
      <w:r>
        <w:t>Artist assignment: Phase 1 has no automatic artist selection. YOYO Assigned Team / Auto Assign enters a manual assignment queue. Authorized Admin/Floor-Manager capability assigns eligible artist(s). Check-in never chooses the artist. AUTO_STANDARD is reserved for Phase 2 only.</w:t>
      </w:r>
    </w:p>
    <w:p>
      <w:r>
        <w:rPr>
          <w:b/>
        </w:rPr>
        <w:t xml:space="preserve">• </w:t>
      </w:r>
      <w:r>
        <w:t>Two-artist services: service master drives required_artist_count = 1 or 2. No hardcoded Senior+Junior rule. For a two-artist service, requested artist is lead and support is assigned separately; start is blocked until fully assigned.</w:t>
      </w:r>
    </w:p>
    <w:p>
      <w:r>
        <w:rPr>
          <w:b/>
        </w:rPr>
        <w:t xml:space="preserve">• </w:t>
      </w:r>
      <w:r>
        <w:t>Consultation: Artist fills consultation; client does not edit/sign the salon consultation. New client = full consultation. Returning client = No Changes review reference or Update with a new prefilled immutable version. High-risk digital service consent is a separate configurable gate.</w:t>
      </w:r>
    </w:p>
    <w:p>
      <w:r>
        <w:rPr>
          <w:b/>
        </w:rPr>
        <w:t xml:space="preserve">• </w:t>
      </w:r>
      <w:r>
        <w:t>Booking timing: 60-day horizon, 15-minute slots, 10-minute artist-only post-service buffer, 30-minute same-day self-booking lead time, and an 8-minute online payment hold.</w:t>
      </w:r>
    </w:p>
    <w:p>
      <w:r>
        <w:rPr>
          <w:b/>
        </w:rPr>
        <w:t xml:space="preserve">• </w:t>
      </w:r>
      <w:r>
        <w:t>Specific artist: 31–60 day specific-artist bookings are PROVISIONAL and revalidated at T-30; no silent artist substitution.</w:t>
      </w:r>
    </w:p>
    <w:p>
      <w:r>
        <w:rPr>
          <w:b/>
        </w:rPr>
        <w:t xml:space="preserve">• </w:t>
      </w:r>
      <w:r>
        <w:t>Advances: Direct Creative Director booking = fixed ₹5,000 mandatory advance. Every other pre-book path = 20% mandatory advance. YOYO Assigned Team remains 20% even if a Creative Director is later manually assigned.</w:t>
      </w:r>
    </w:p>
    <w:p>
      <w:r>
        <w:rPr>
          <w:b/>
        </w:rPr>
        <w:t xml:space="preserve">• </w:t>
      </w:r>
      <w:r>
        <w:t>Creative Director reschedule: the ₹5,000 advance may transfer to the newly rescheduled appointment.</w:t>
      </w:r>
    </w:p>
    <w:p>
      <w:r>
        <w:rPr>
          <w:b/>
        </w:rPr>
        <w:t xml:space="preserve">• </w:t>
      </w:r>
      <w:r>
        <w:t>Group booking: each group member receives an independent booking/appointment linked by a group container. Each member/service advance is calculated independently (20% of each service price, except direct CD rule). Individual member appointments may be cancelled/rescheduled independently. A combined checkout is permitted only when backend allocation remains exact per appointment/service.</w:t>
      </w:r>
    </w:p>
    <w:p>
      <w:r>
        <w:rPr>
          <w:b/>
        </w:rPr>
        <w:t xml:space="preserve">• </w:t>
      </w:r>
      <w:r>
        <w:t>Tips: no tip control exists in the Client App. Normal tip is cash directly from client to artist. If client asks to include a tip on the salon bill, Receptionist/Admin may add the client-requested amount at the billing desk and attribute it to intended artist(s).</w:t>
      </w:r>
    </w:p>
    <w:p>
      <w:r>
        <w:rPr>
          <w:b/>
        </w:rPr>
        <w:t xml:space="preserve">• </w:t>
      </w:r>
      <w:r>
        <w:t>Refunds: YOYO issues no cash refunds. Approved destination is eligible original electronic source or YOYO Wallet, according to client choice; eligible membership refund flows remain only where explicitly allowed.</w:t>
      </w:r>
    </w:p>
    <w:p>
      <w:r>
        <w:rPr>
          <w:b/>
        </w:rPr>
        <w:t xml:space="preserve">• </w:t>
      </w:r>
      <w:r>
        <w:t>Payment reconciliation: uncertain provider payments move from ordinary PENDING to RECONCILIATION_REQUIRED after 15 minutes; daily unresolved-payment reconciliation sweep.</w:t>
      </w:r>
    </w:p>
    <w:p>
      <w:r>
        <w:rPr>
          <w:b/>
        </w:rPr>
        <w:t xml:space="preserve">• </w:t>
      </w:r>
      <w:r>
        <w:t>Membership expiry: unused balance is preserved/frozen. On renewal, Admin may carry forward/transfer preserved balance. Primary holder cannot be changed/removed; sub-members can be changed within slot limits.</w:t>
      </w:r>
    </w:p>
    <w:p>
      <w:r>
        <w:rPr>
          <w:b/>
        </w:rPr>
        <w:t xml:space="preserve">• </w:t>
      </w:r>
      <w:r>
        <w:t>Early membership renewal: if current membership still has balance, successor term begins on exact current expiry date; if current balance is zero, renewed membership may activate immediately on renewal date.</w:t>
      </w:r>
    </w:p>
    <w:p>
      <w:r>
        <w:rPr>
          <w:b/>
        </w:rPr>
        <w:t xml:space="preserve">• </w:t>
      </w:r>
      <w:r>
        <w:t>Support channels: Meta WhatsApp Cloud API primary; MSG91 SMS fallback. First-response operational targets: High 30 minutes, Medium 2 hours, Low 8 business hours.</w:t>
      </w:r>
    </w:p>
    <w:p>
      <w:r>
        <w:rPr>
          <w:b/>
        </w:rPr>
        <w:t xml:space="preserve">• </w:t>
      </w:r>
      <w:r>
        <w:t>Approved CRM additions: Customer 360, Unified Client Timeline, Personalized Smart Suggested Slots, Next Best Action, Rebooking/Lapsed Client Intelligence, Advanced Notifications Center, Product Recommendations v1, and existing Admin Content Controls.</w:t>
      </w:r>
    </w:p>
    <w:p>
      <w:r>
        <w:rPr>
          <w:b/>
        </w:rPr>
        <w:t xml:space="preserve">• </w:t>
      </w:r>
      <w:r>
        <w:t>Explicitly not added: Client Attention Queue, Client Segments, Customer Health Score, Relationship Alerts, Membership Intelligence dashboard, and Service Affinity dashboard.</w:t>
      </w:r>
    </w:p>
    <w:p>
      <w:r>
        <w:rPr>
          <w:b/>
        </w:rPr>
        <w:t xml:space="preserve">• </w:t>
      </w:r>
      <w:r>
        <w:t>Client AI Assistant: tool-using assistant can discover services/artists/products, answer account questions, check availability, book/reschedule/cancel through the same authorized APIs/state machines, surface suggested slots, wallet/membership/booking information and support. It never writes directly to the database or bypasses confirmation/payment/RBAC.</w:t>
      </w:r>
    </w:p>
    <w:p>
      <w:r>
        <w:rPr>
          <w:b/>
        </w:rPr>
        <w:t xml:space="preserve">• </w:t>
      </w:r>
      <w:r>
        <w:t>Artist AI Assistant: tool-using operational copilot can answer permitted questions about the artist's schedule, next appointment, assigned/current client context, consultation/safety data, services/products, session status, personal business/performance figures and notifications. It uses authorized APIs only and cannot bypass scope/RBAC.</w:t>
      </w:r>
    </w:p>
    <w:p>
      <w:pPr>
        <w:pStyle w:val="Heading2"/>
      </w:pPr>
      <w:r>
        <w:t>Four intentionally open items</w:t>
      </w:r>
    </w:p>
    <w:p>
      <w:r>
        <w:rPr>
          <w:b/>
        </w:rPr>
        <w:t xml:space="preserve">• </w:t>
      </w:r>
      <w:r>
        <w:t>OPEN-01 — Final GST / tax / HSN-SAC / invoice statutory configuration (pending current invoice evidence).</w:t>
      </w:r>
    </w:p>
    <w:p>
      <w:r>
        <w:rPr>
          <w:b/>
        </w:rPr>
        <w:t xml:space="preserve">• </w:t>
      </w:r>
      <w:r>
        <w:t>OPEN-02 — Final artist revenue-allocation basis/formula (pending accountant confirmation).</w:t>
      </w:r>
    </w:p>
    <w:p>
      <w:r>
        <w:rPr>
          <w:b/>
        </w:rPr>
        <w:t xml:space="preserve">• </w:t>
      </w:r>
      <w:r>
        <w:t>OPEN-03 — Exact service-master rows requiring two artists.</w:t>
      </w:r>
    </w:p>
    <w:p>
      <w:r>
        <w:rPr>
          <w:b/>
        </w:rPr>
        <w:t xml:space="preserve">• </w:t>
      </w:r>
      <w:r>
        <w:t>OPEN-04 — Exact high-risk service list and final legal consent wording.</w:t>
      </w:r>
    </w:p>
    <w:p>
      <w:r>
        <w:t>Developers must keep these four values configuration-driven and must not invent production values. They do not block general development, but they block final UAT/production activation of the directly affected behavior.</w:t>
      </w:r>
    </w:p>
    <w:p>
      <w:pPr>
        <w:pStyle w:val="Heading1"/>
      </w:pPr>
      <w:r>
        <w:t>Additional environment/integration configuration</w:t>
      </w:r>
    </w:p>
    <w:p>
      <w:r>
        <w:rPr>
          <w:b/>
        </w:rPr>
        <w:t xml:space="preserve">• </w:t>
      </w:r>
      <w:r>
        <w:t>Meta WhatsApp Cloud API credentials/configuration per environment.</w:t>
      </w:r>
    </w:p>
    <w:p>
      <w:r>
        <w:rPr>
          <w:b/>
        </w:rPr>
        <w:t xml:space="preserve">• </w:t>
      </w:r>
      <w:r>
        <w:t>MSG91 SMS credentials/template/DLT configuration per environment.</w:t>
      </w:r>
    </w:p>
    <w:p>
      <w:r>
        <w:rPr>
          <w:b/>
        </w:rPr>
        <w:t xml:space="preserve">• </w:t>
      </w:r>
      <w:r>
        <w:t>AI assistant provider/model credentials per environment; never expose secrets to mobile/web clients.</w:t>
      </w:r>
    </w:p>
    <w:p>
      <w:r>
        <w:rPr>
          <w:b/>
        </w:rPr>
        <w:t xml:space="preserve">• </w:t>
      </w:r>
      <w:r>
        <w:t>Assistant feature flags for Client and Artist surfaces.</w:t>
      </w:r>
    </w:p>
    <w:p>
      <w:r>
        <w:rPr>
          <w:b/>
        </w:rPr>
        <w:t xml:space="preserve">• </w:t>
      </w:r>
      <w:r>
        <w:t>15-minute payment reconciliation threshold configuration and scheduled daily reconciliation sweep.</w:t>
      </w:r>
    </w:p>
    <w:p>
      <w:r>
        <w:rPr>
          <w:b/>
        </w:rPr>
        <w:t xml:space="preserve">• </w:t>
      </w:r>
      <w:r>
        <w:t>Observability must log assistant tool invocation metadata, actor, tool, result status and correlation ID without leaking sensitive prompt data unnecessarily.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2"/>
      </w:rPr>
      <w:t>CONFIDENTIAL • HAIR RAP BY YOYO PVT. LTD. • Phase 1 Environment, Deployment &amp; Go-Live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85C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